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212714</w:t>
      </w:r>
      <w:bookmarkStart w:id="15" w:name="_GoBack"/>
      <w:bookmarkEnd w:id="15"/>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ind w:left="1980" w:hanging="1980"/>
        <w:textAlignment w:val="auto"/>
        <w:outlineLvl w:val="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bookmarkStart w:id="3" w:name="OLE_LINK2"/>
      <w:r>
        <w:rPr>
          <w:rFonts w:hint="eastAsia" w:ascii="Arial" w:hAnsi="Arial"/>
          <w:b/>
          <w:sz w:val="24"/>
          <w:highlight w:val="none"/>
          <w:lang w:val="pt-BR"/>
        </w:rPr>
        <w:t>Discussion on APT 600MHz UE RF requirement</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10.19.3</w:t>
      </w:r>
    </w:p>
    <w:p>
      <w:pPr>
        <w:keepNext w:val="0"/>
        <w:keepLines w:val="0"/>
        <w:pageBreakBefore w:val="0"/>
        <w:widowControl w:val="0"/>
        <w:tabs>
          <w:tab w:val="left" w:pos="1985"/>
        </w:tabs>
        <w:kinsoku/>
        <w:wordWrap/>
        <w:overflowPunct/>
        <w:topLinePunct w:val="0"/>
        <w:autoSpaceDE/>
        <w:autoSpaceDN/>
        <w:bidi w:val="0"/>
        <w:adjustRightInd/>
        <w:spacing w:before="120" w:after="120"/>
        <w:ind w:left="1980" w:hanging="1980"/>
        <w:textAlignment w:val="auto"/>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eastAsia="宋体"/>
          <w:lang w:eastAsia="zh-CN"/>
        </w:rPr>
      </w:pPr>
      <w:r>
        <w:rPr>
          <w:rFonts w:hint="eastAsia"/>
          <w:bCs/>
          <w:kern w:val="0"/>
          <w:sz w:val="21"/>
          <w:szCs w:val="21"/>
          <w:highlight w:val="none"/>
          <w:lang w:val="en-US" w:eastAsia="zh-CN"/>
        </w:rPr>
        <w:t xml:space="preserve">The topic of APT 600MHz have already been extensively discussed during R17 time phase. At that time, it was a SID, which mainly focus on </w:t>
      </w:r>
      <w:r>
        <w:rPr>
          <w:rFonts w:eastAsia="宋体"/>
          <w:lang w:eastAsia="zh-CN"/>
        </w:rPr>
        <w:t>feasibility analyses for options B1, B2 and B2a</w:t>
      </w:r>
      <w:r>
        <w:rPr>
          <w:rFonts w:hint="eastAsia"/>
          <w:lang w:val="en-US" w:eastAsia="zh-CN"/>
        </w:rPr>
        <w:t xml:space="preserve">, where the </w:t>
      </w:r>
      <w:r>
        <w:rPr>
          <w:rFonts w:eastAsia="宋体"/>
          <w:lang w:eastAsia="zh-CN"/>
        </w:rPr>
        <w:t xml:space="preserve">feasibility </w:t>
      </w:r>
      <w:r>
        <w:rPr>
          <w:rFonts w:hint="eastAsia"/>
          <w:lang w:val="en-US" w:eastAsia="zh-CN"/>
        </w:rPr>
        <w:t>studies and conclusions can be found in the TR38.860[1].</w:t>
      </w:r>
      <w:r>
        <w:rPr>
          <w:rFonts w:eastAsia="宋体"/>
          <w:lang w:eastAsia="zh-CN"/>
        </w:rPr>
        <w:t xml:space="preserv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eastAsia="宋体"/>
          <w:lang w:val="en-US" w:eastAsia="zh-CN"/>
        </w:rPr>
      </w:pPr>
      <w:r>
        <w:rPr>
          <w:rFonts w:hint="eastAsia"/>
          <w:lang w:val="en-US" w:eastAsia="zh-CN"/>
        </w:rPr>
        <w:t>In R18, a new WID[2] to introduce a new FDD band to compliance to APT 600MHz, where the objectives are:</w:t>
      </w:r>
    </w:p>
    <w:p>
      <w:pPr>
        <w:keepNext w:val="0"/>
        <w:keepLines w:val="0"/>
        <w:pageBreakBefore w:val="0"/>
        <w:widowControl w:val="0"/>
        <w:numPr>
          <w:ilvl w:val="0"/>
          <w:numId w:val="7"/>
        </w:numPr>
        <w:kinsoku/>
        <w:wordWrap/>
        <w:overflowPunct/>
        <w:topLinePunct w:val="0"/>
        <w:autoSpaceDE/>
        <w:autoSpaceDN/>
        <w:bidi w:val="0"/>
        <w:adjustRightInd/>
        <w:snapToGrid/>
        <w:spacing w:after="0"/>
        <w:textAlignment w:val="auto"/>
        <w:rPr>
          <w:bCs/>
          <w:i/>
          <w:iCs/>
          <w:lang w:eastAsia="ja-JP"/>
        </w:rPr>
      </w:pPr>
      <w:r>
        <w:rPr>
          <w:bCs/>
          <w:i/>
          <w:iCs/>
          <w:lang w:eastAsia="ja-JP"/>
        </w:rPr>
        <w:t xml:space="preserve">Specify a new NR FDD operating band to include band numbering and core requirements to operate in APT region by considering that: </w:t>
      </w:r>
    </w:p>
    <w:p>
      <w:pPr>
        <w:keepNext w:val="0"/>
        <w:keepLines w:val="0"/>
        <w:pageBreakBefore w:val="0"/>
        <w:widowControl w:val="0"/>
        <w:numPr>
          <w:ilvl w:val="1"/>
          <w:numId w:val="7"/>
        </w:numPr>
        <w:kinsoku/>
        <w:wordWrap/>
        <w:overflowPunct/>
        <w:topLinePunct w:val="0"/>
        <w:autoSpaceDE/>
        <w:autoSpaceDN/>
        <w:bidi w:val="0"/>
        <w:adjustRightInd/>
        <w:snapToGrid/>
        <w:spacing w:after="0"/>
        <w:textAlignment w:val="auto"/>
        <w:rPr>
          <w:bCs/>
          <w:i/>
          <w:iCs/>
          <w:lang w:eastAsia="ja-JP"/>
        </w:rPr>
      </w:pPr>
      <w:r>
        <w:rPr>
          <w:bCs/>
          <w:i/>
          <w:iCs/>
          <w:lang w:eastAsia="ja-JP"/>
        </w:rPr>
        <w:t>UE transmit: 663 - 703 MHz, BS transmit: 612 MHz – 652 MHz,</w:t>
      </w:r>
    </w:p>
    <w:p>
      <w:pPr>
        <w:keepNext w:val="0"/>
        <w:keepLines w:val="0"/>
        <w:pageBreakBefore w:val="0"/>
        <w:widowControl w:val="0"/>
        <w:numPr>
          <w:ilvl w:val="1"/>
          <w:numId w:val="7"/>
        </w:numPr>
        <w:kinsoku/>
        <w:wordWrap/>
        <w:overflowPunct/>
        <w:topLinePunct w:val="0"/>
        <w:autoSpaceDE/>
        <w:autoSpaceDN/>
        <w:bidi w:val="0"/>
        <w:adjustRightInd/>
        <w:snapToGrid/>
        <w:spacing w:after="0"/>
        <w:textAlignment w:val="auto"/>
        <w:rPr>
          <w:bCs/>
          <w:i/>
          <w:iCs/>
          <w:lang w:eastAsia="ja-JP"/>
        </w:rPr>
      </w:pPr>
      <w:r>
        <w:rPr>
          <w:bCs/>
          <w:i/>
          <w:iCs/>
          <w:lang w:eastAsia="ja-JP"/>
        </w:rPr>
        <w:t>To support the following channel bandwidths and SCS as in the Table 2 below</w:t>
      </w:r>
    </w:p>
    <w:p>
      <w:pPr>
        <w:keepNext w:val="0"/>
        <w:keepLines w:val="0"/>
        <w:pageBreakBefore w:val="0"/>
        <w:widowControl w:val="0"/>
        <w:numPr>
          <w:ilvl w:val="1"/>
          <w:numId w:val="7"/>
        </w:numPr>
        <w:kinsoku/>
        <w:wordWrap/>
        <w:overflowPunct/>
        <w:topLinePunct w:val="0"/>
        <w:autoSpaceDE/>
        <w:autoSpaceDN/>
        <w:bidi w:val="0"/>
        <w:adjustRightInd/>
        <w:snapToGrid/>
        <w:spacing w:after="0"/>
        <w:textAlignment w:val="auto"/>
        <w:rPr>
          <w:bCs/>
          <w:i/>
          <w:iCs/>
          <w:lang w:eastAsia="ja-JP"/>
        </w:rPr>
      </w:pPr>
      <w:r>
        <w:rPr>
          <w:bCs/>
          <w:i/>
          <w:iCs/>
          <w:lang w:eastAsia="ja-JP"/>
        </w:rPr>
        <w:t>UL channel bandwidth is limited to 20 MHz to limit the MSD as was the case with n71</w:t>
      </w:r>
    </w:p>
    <w:p>
      <w:pPr>
        <w:keepNext w:val="0"/>
        <w:keepLines w:val="0"/>
        <w:pageBreakBefore w:val="0"/>
        <w:widowControl w:val="0"/>
        <w:numPr>
          <w:ilvl w:val="1"/>
          <w:numId w:val="7"/>
        </w:numPr>
        <w:kinsoku/>
        <w:wordWrap/>
        <w:overflowPunct/>
        <w:topLinePunct w:val="0"/>
        <w:autoSpaceDE/>
        <w:autoSpaceDN/>
        <w:bidi w:val="0"/>
        <w:adjustRightInd/>
        <w:snapToGrid/>
        <w:spacing w:after="0"/>
        <w:textAlignment w:val="auto"/>
        <w:rPr>
          <w:bCs/>
          <w:i/>
          <w:iCs/>
          <w:lang w:eastAsia="ja-JP"/>
        </w:rPr>
      </w:pPr>
      <w:r>
        <w:rPr>
          <w:bCs/>
          <w:i/>
          <w:iCs/>
          <w:lang w:eastAsia="ja-JP"/>
        </w:rPr>
        <w:t>The use of UE power class 3 (23dBm).</w:t>
      </w:r>
    </w:p>
    <w:p>
      <w:pPr>
        <w:keepNext w:val="0"/>
        <w:keepLines w:val="0"/>
        <w:pageBreakBefore w:val="0"/>
        <w:widowControl w:val="0"/>
        <w:numPr>
          <w:ilvl w:val="1"/>
          <w:numId w:val="7"/>
        </w:numPr>
        <w:kinsoku/>
        <w:wordWrap/>
        <w:overflowPunct/>
        <w:topLinePunct w:val="0"/>
        <w:autoSpaceDE/>
        <w:autoSpaceDN/>
        <w:bidi w:val="0"/>
        <w:adjustRightInd/>
        <w:snapToGrid/>
        <w:spacing w:after="0"/>
        <w:textAlignment w:val="auto"/>
        <w:rPr>
          <w:bCs/>
          <w:i/>
          <w:iCs/>
          <w:lang w:eastAsia="ja-JP"/>
        </w:rPr>
      </w:pPr>
    </w:p>
    <w:p>
      <w:pPr>
        <w:pStyle w:val="55"/>
        <w:keepNext w:val="0"/>
        <w:keepLines w:val="0"/>
        <w:pageBreakBefore w:val="0"/>
        <w:widowControl w:val="0"/>
        <w:kinsoku/>
        <w:wordWrap/>
        <w:overflowPunct/>
        <w:topLinePunct w:val="0"/>
        <w:autoSpaceDE/>
        <w:autoSpaceDN/>
        <w:bidi w:val="0"/>
        <w:adjustRightInd/>
        <w:snapToGrid/>
        <w:textAlignment w:val="auto"/>
        <w:rPr>
          <w:i/>
          <w:iCs/>
        </w:rPr>
      </w:pPr>
      <w:r>
        <w:rPr>
          <w:i/>
          <w:iCs/>
        </w:rPr>
        <w:t>Table 2: Channel bandwidth and SCS parameters</w:t>
      </w:r>
    </w:p>
    <w:tbl>
      <w:tblPr>
        <w:tblStyle w:val="22"/>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64"/>
              <w:keepNext w:val="0"/>
              <w:keepLines w:val="0"/>
              <w:pageBreakBefore w:val="0"/>
              <w:widowControl w:val="0"/>
              <w:kinsoku/>
              <w:wordWrap/>
              <w:overflowPunct/>
              <w:topLinePunct w:val="0"/>
              <w:autoSpaceDE/>
              <w:autoSpaceDN/>
              <w:bidi w:val="0"/>
              <w:adjustRightInd/>
              <w:snapToGrid/>
              <w:textAlignment w:val="auto"/>
              <w:rPr>
                <w:i/>
                <w:iCs/>
              </w:rPr>
            </w:pPr>
            <w:r>
              <w:rPr>
                <w:i/>
                <w:iCs/>
              </w:rPr>
              <w:t>SCS</w:t>
            </w:r>
            <w:r>
              <w:rPr>
                <w:rFonts w:hint="eastAsia" w:eastAsia="游明朝"/>
                <w:i/>
                <w:iCs/>
                <w:lang w:eastAsia="zh-CN"/>
              </w:rPr>
              <w:t xml:space="preserve"> </w:t>
            </w:r>
            <w:r>
              <w:rPr>
                <w:rFonts w:eastAsia="游明朝"/>
                <w:i/>
                <w:iCs/>
                <w:lang w:eastAsia="zh-CN"/>
              </w:rPr>
              <w:t>(</w:t>
            </w:r>
            <w:r>
              <w:rPr>
                <w:i/>
                <w:iCs/>
              </w:rPr>
              <w:t>kHz)</w:t>
            </w:r>
          </w:p>
        </w:tc>
        <w:tc>
          <w:tcPr>
            <w:tcW w:w="4815" w:type="dxa"/>
            <w:gridSpan w:val="7"/>
            <w:shd w:val="clear" w:color="auto" w:fill="auto"/>
          </w:tcPr>
          <w:p>
            <w:pPr>
              <w:pStyle w:val="64"/>
              <w:keepNext w:val="0"/>
              <w:keepLines w:val="0"/>
              <w:pageBreakBefore w:val="0"/>
              <w:widowControl w:val="0"/>
              <w:kinsoku/>
              <w:wordWrap/>
              <w:overflowPunct/>
              <w:topLinePunct w:val="0"/>
              <w:autoSpaceDE/>
              <w:autoSpaceDN/>
              <w:bidi w:val="0"/>
              <w:adjustRightInd/>
              <w:snapToGrid/>
              <w:textAlignment w:val="auto"/>
              <w:rPr>
                <w:i/>
                <w:iCs/>
              </w:rPr>
            </w:pPr>
            <w:r>
              <w:rPr>
                <w:i/>
                <w:iCs/>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15</w:t>
            </w:r>
          </w:p>
        </w:tc>
        <w:tc>
          <w:tcPr>
            <w:tcW w:w="709"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5</w:t>
            </w:r>
          </w:p>
        </w:tc>
        <w:tc>
          <w:tcPr>
            <w:tcW w:w="709"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10</w:t>
            </w:r>
          </w:p>
        </w:tc>
        <w:tc>
          <w:tcPr>
            <w:tcW w:w="713"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15</w:t>
            </w:r>
          </w:p>
        </w:tc>
        <w:tc>
          <w:tcPr>
            <w:tcW w:w="709"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20</w:t>
            </w:r>
          </w:p>
        </w:tc>
        <w:tc>
          <w:tcPr>
            <w:tcW w:w="567"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25</w:t>
            </w:r>
          </w:p>
        </w:tc>
        <w:tc>
          <w:tcPr>
            <w:tcW w:w="709"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30</w:t>
            </w:r>
          </w:p>
        </w:tc>
        <w:tc>
          <w:tcPr>
            <w:tcW w:w="708" w:type="dxa"/>
            <w:gridSpan w:val="2"/>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i/>
                <w:iCs/>
              </w:rPr>
            </w:pPr>
            <w:r>
              <w:rPr>
                <w:i/>
                <w:iC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30</w:t>
            </w:r>
          </w:p>
        </w:tc>
        <w:tc>
          <w:tcPr>
            <w:tcW w:w="709"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p>
        </w:tc>
        <w:tc>
          <w:tcPr>
            <w:tcW w:w="709"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10</w:t>
            </w:r>
          </w:p>
        </w:tc>
        <w:tc>
          <w:tcPr>
            <w:tcW w:w="713"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15</w:t>
            </w:r>
          </w:p>
        </w:tc>
        <w:tc>
          <w:tcPr>
            <w:tcW w:w="709" w:type="dxa"/>
            <w:shd w:val="clear" w:color="auto" w:fill="auto"/>
            <w:vAlign w:val="center"/>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20</w:t>
            </w:r>
          </w:p>
        </w:tc>
        <w:tc>
          <w:tcPr>
            <w:tcW w:w="567"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25</w:t>
            </w:r>
          </w:p>
        </w:tc>
        <w:tc>
          <w:tcPr>
            <w:tcW w:w="709" w:type="dxa"/>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rFonts w:eastAsia="游明朝"/>
                <w:i/>
                <w:iCs/>
              </w:rPr>
            </w:pPr>
            <w:r>
              <w:rPr>
                <w:i/>
                <w:iCs/>
              </w:rPr>
              <w:t>30</w:t>
            </w:r>
          </w:p>
        </w:tc>
        <w:tc>
          <w:tcPr>
            <w:tcW w:w="708" w:type="dxa"/>
            <w:gridSpan w:val="2"/>
            <w:shd w:val="clear" w:color="auto" w:fill="auto"/>
          </w:tcPr>
          <w:p>
            <w:pPr>
              <w:pStyle w:val="56"/>
              <w:keepNext w:val="0"/>
              <w:keepLines w:val="0"/>
              <w:pageBreakBefore w:val="0"/>
              <w:widowControl w:val="0"/>
              <w:kinsoku/>
              <w:wordWrap/>
              <w:overflowPunct/>
              <w:topLinePunct w:val="0"/>
              <w:autoSpaceDE/>
              <w:autoSpaceDN/>
              <w:bidi w:val="0"/>
              <w:adjustRightInd/>
              <w:snapToGrid/>
              <w:textAlignment w:val="auto"/>
              <w:rPr>
                <w:i/>
                <w:iCs/>
              </w:rPr>
            </w:pPr>
            <w:r>
              <w:rPr>
                <w:i/>
                <w:iCs/>
              </w:rPr>
              <w:t>35</w:t>
            </w:r>
          </w:p>
        </w:tc>
      </w:tr>
    </w:tbl>
    <w:p>
      <w:pPr>
        <w:keepNext w:val="0"/>
        <w:keepLines w:val="0"/>
        <w:pageBreakBefore w:val="0"/>
        <w:widowControl w:val="0"/>
        <w:kinsoku/>
        <w:wordWrap/>
        <w:overflowPunct/>
        <w:topLinePunct w:val="0"/>
        <w:autoSpaceDE/>
        <w:autoSpaceDN/>
        <w:bidi w:val="0"/>
        <w:adjustRightInd/>
        <w:snapToGrid/>
        <w:ind w:right="-99"/>
        <w:textAlignment w:val="auto"/>
        <w:rPr>
          <w:i/>
          <w:iCs/>
        </w:rPr>
      </w:pPr>
    </w:p>
    <w:p>
      <w:pPr>
        <w:pStyle w:val="32"/>
        <w:keepNext w:val="0"/>
        <w:keepLines w:val="0"/>
        <w:pageBreakBefore w:val="0"/>
        <w:widowControl w:val="0"/>
        <w:numPr>
          <w:ilvl w:val="0"/>
          <w:numId w:val="8"/>
        </w:numPr>
        <w:kinsoku/>
        <w:wordWrap/>
        <w:overflowPunct/>
        <w:topLinePunct w:val="0"/>
        <w:autoSpaceDE/>
        <w:autoSpaceDN/>
        <w:bidi w:val="0"/>
        <w:adjustRightInd/>
        <w:snapToGrid/>
        <w:ind w:right="-99"/>
        <w:textAlignment w:val="auto"/>
        <w:rPr>
          <w:rFonts w:ascii="Times New Roman" w:hAnsi="Times New Roman" w:eastAsia="宋体" w:cs="Times New Roman"/>
          <w:bCs/>
          <w:i/>
          <w:iCs/>
          <w:kern w:val="2"/>
          <w:sz w:val="21"/>
          <w:szCs w:val="20"/>
          <w:lang w:val="en-US" w:eastAsia="ja-JP" w:bidi="ar-SA"/>
        </w:rPr>
      </w:pPr>
      <w:r>
        <w:rPr>
          <w:rFonts w:ascii="Times New Roman" w:hAnsi="Times New Roman" w:eastAsia="宋体" w:cs="Times New Roman"/>
          <w:bCs/>
          <w:i/>
          <w:iCs/>
          <w:kern w:val="2"/>
          <w:sz w:val="21"/>
          <w:szCs w:val="20"/>
          <w:lang w:val="en-US" w:eastAsia="ja-JP" w:bidi="ar-SA"/>
        </w:rPr>
        <w:t>Develop a technical specification for the APT 600 MHz band for option B1 (as defined in table 1) for the APT region 600 MHz band with a view to developing the normative text on:</w:t>
      </w:r>
    </w:p>
    <w:p>
      <w:pPr>
        <w:keepNext w:val="0"/>
        <w:keepLines w:val="0"/>
        <w:pageBreakBefore w:val="0"/>
        <w:widowControl w:val="0"/>
        <w:numPr>
          <w:ilvl w:val="0"/>
          <w:numId w:val="9"/>
        </w:numPr>
        <w:kinsoku/>
        <w:wordWrap/>
        <w:overflowPunct/>
        <w:topLinePunct w:val="0"/>
        <w:autoSpaceDE/>
        <w:autoSpaceDN/>
        <w:bidi w:val="0"/>
        <w:adjustRightInd/>
        <w:snapToGrid/>
        <w:ind w:right="-99"/>
        <w:textAlignment w:val="auto"/>
        <w:rPr>
          <w:i/>
          <w:iCs/>
        </w:rPr>
      </w:pPr>
      <w:r>
        <w:rPr>
          <w:i/>
          <w:iCs/>
        </w:rPr>
        <w:t>Operating band, channel bandwidth and system parameters- see Table 1 and Table 2</w:t>
      </w:r>
    </w:p>
    <w:p>
      <w:pPr>
        <w:keepNext w:val="0"/>
        <w:keepLines w:val="0"/>
        <w:pageBreakBefore w:val="0"/>
        <w:widowControl w:val="0"/>
        <w:numPr>
          <w:ilvl w:val="0"/>
          <w:numId w:val="9"/>
        </w:numPr>
        <w:kinsoku/>
        <w:wordWrap/>
        <w:overflowPunct/>
        <w:topLinePunct w:val="0"/>
        <w:autoSpaceDE/>
        <w:autoSpaceDN/>
        <w:bidi w:val="0"/>
        <w:adjustRightInd/>
        <w:snapToGrid/>
        <w:ind w:right="-99"/>
        <w:textAlignment w:val="auto"/>
        <w:rPr>
          <w:i/>
          <w:iCs/>
        </w:rPr>
      </w:pPr>
      <w:r>
        <w:rPr>
          <w:i/>
          <w:iCs/>
        </w:rPr>
        <w:t>BS and UE RF core requirement taking into account potential coexistence issues</w:t>
      </w:r>
    </w:p>
    <w:p>
      <w:pPr>
        <w:keepNext w:val="0"/>
        <w:keepLines w:val="0"/>
        <w:pageBreakBefore w:val="0"/>
        <w:widowControl w:val="0"/>
        <w:numPr>
          <w:ilvl w:val="0"/>
          <w:numId w:val="9"/>
        </w:numPr>
        <w:kinsoku/>
        <w:wordWrap/>
        <w:overflowPunct/>
        <w:topLinePunct w:val="0"/>
        <w:autoSpaceDE/>
        <w:autoSpaceDN/>
        <w:bidi w:val="0"/>
        <w:adjustRightInd/>
        <w:snapToGrid/>
        <w:jc w:val="both"/>
        <w:textAlignment w:val="auto"/>
        <w:rPr>
          <w:i/>
          <w:iCs/>
          <w:lang w:eastAsia="zh-CN"/>
        </w:rPr>
      </w:pPr>
      <w:r>
        <w:rPr>
          <w:i/>
          <w:iCs/>
        </w:rPr>
        <w:t>RRM requirement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this contribution, </w:t>
      </w:r>
      <w:bookmarkStart w:id="4" w:name="OLE_LINK18"/>
      <w:r>
        <w:rPr>
          <w:rFonts w:hint="eastAsia"/>
          <w:bCs/>
          <w:kern w:val="0"/>
          <w:sz w:val="21"/>
          <w:szCs w:val="21"/>
          <w:highlight w:val="none"/>
          <w:lang w:val="en-US" w:eastAsia="zh-CN"/>
        </w:rPr>
        <w:t>we give some initial discussions on the UE RF requirements.</w:t>
      </w:r>
      <w:bookmarkEnd w:id="4"/>
      <w:r>
        <w:rPr>
          <w:rFonts w:hint="eastAsia"/>
          <w:bCs/>
          <w:kern w:val="0"/>
          <w:sz w:val="21"/>
          <w:szCs w:val="21"/>
          <w:highlight w:val="none"/>
          <w:lang w:val="en-US" w:eastAsia="zh-CN"/>
        </w:rPr>
        <w:t xml:space="preserv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suppressLineNumbers w:val="0"/>
        <w:kinsoku/>
        <w:wordWrap/>
        <w:overflowPunct/>
        <w:topLinePunct w:val="0"/>
        <w:autoSpaceDE/>
        <w:autoSpaceDN/>
        <w:bidi w:val="0"/>
        <w:adjustRightInd/>
        <w:snapToGrid/>
        <w:spacing w:line="260" w:lineRule="auto"/>
        <w:jc w:val="left"/>
        <w:textAlignment w:val="auto"/>
        <w:rPr>
          <w:rFonts w:hint="default"/>
          <w:lang w:val="en-US" w:eastAsia="zh-CN"/>
        </w:rPr>
      </w:pPr>
      <w:bookmarkStart w:id="5" w:name="OLE_LINK30"/>
      <w:bookmarkStart w:id="6" w:name="OLE_LINK23"/>
      <w:bookmarkStart w:id="7" w:name="OLE_LINK42"/>
      <w:bookmarkStart w:id="8" w:name="OLE_LINK66"/>
      <w:r>
        <w:rPr>
          <w:rFonts w:hint="eastAsia"/>
          <w:lang w:val="en-US" w:eastAsia="zh-CN"/>
        </w:rPr>
        <w:t>The discussion on system parameter for the new FDD band is given in [4], based on the system parameters, the initial discussion on UE RF requirements are given below.</w:t>
      </w:r>
    </w:p>
    <w:p>
      <w:pPr>
        <w:keepNext w:val="0"/>
        <w:keepLines w:val="0"/>
        <w:pageBreakBefore w:val="0"/>
        <w:widowControl w:val="0"/>
        <w:suppressLineNumbers w:val="0"/>
        <w:kinsoku/>
        <w:wordWrap/>
        <w:topLinePunct w:val="0"/>
        <w:bidi w:val="0"/>
        <w:snapToGrid/>
        <w:jc w:val="left"/>
        <w:rPr>
          <w:rFonts w:hint="eastAsia"/>
          <w:b/>
          <w:bCs/>
          <w:i w:val="0"/>
          <w:iCs w:val="0"/>
          <w:u w:val="single"/>
          <w:lang w:val="en-US" w:eastAsia="zh-CN"/>
        </w:rPr>
      </w:pPr>
      <w:bookmarkStart w:id="9" w:name="OLE_LINK12"/>
      <w:r>
        <w:rPr>
          <w:rFonts w:hint="eastAsia"/>
          <w:b/>
          <w:bCs/>
          <w:i w:val="0"/>
          <w:iCs w:val="0"/>
          <w:u w:val="single"/>
          <w:lang w:val="en-US" w:eastAsia="zh-CN"/>
        </w:rPr>
        <w:t>Maximum output power</w:t>
      </w:r>
    </w:p>
    <w:bookmarkEnd w:id="9"/>
    <w:p>
      <w:pPr>
        <w:keepNext w:val="0"/>
        <w:keepLines w:val="0"/>
        <w:pageBreakBefore w:val="0"/>
        <w:widowControl w:val="0"/>
        <w:suppressLineNumbers w:val="0"/>
        <w:kinsoku/>
        <w:wordWrap/>
        <w:topLinePunct w:val="0"/>
        <w:bidi w:val="0"/>
        <w:snapToGrid/>
        <w:jc w:val="left"/>
        <w:rPr>
          <w:rFonts w:hint="eastAsia" w:eastAsia="宋体"/>
          <w:lang w:val="en-US" w:eastAsia="zh-CN"/>
        </w:rPr>
      </w:pPr>
      <w:r>
        <w:rPr>
          <w:rFonts w:hint="eastAsia"/>
          <w:lang w:val="en-US" w:eastAsia="zh-CN"/>
        </w:rPr>
        <w:t>In general, for FDD bands, the challenged relative duplex gap should be taken into account, where t</w:t>
      </w:r>
      <w:r>
        <w:rPr>
          <w:lang w:val="en-US"/>
        </w:rPr>
        <w:t xml:space="preserve">he relative duplex gap is calculated by the </w:t>
      </w:r>
      <w:r>
        <w:rPr>
          <w:rFonts w:hint="eastAsia"/>
          <w:lang w:val="en-US" w:eastAsia="zh-CN"/>
        </w:rPr>
        <w:t xml:space="preserve">duplex </w:t>
      </w:r>
      <w:r>
        <w:rPr>
          <w:lang w:val="en-US"/>
        </w:rPr>
        <w:t xml:space="preserve">gap with the centre frequency value of the </w:t>
      </w:r>
      <w:r>
        <w:rPr>
          <w:rFonts w:hint="eastAsia"/>
          <w:lang w:val="en-US" w:eastAsia="zh-CN"/>
        </w:rPr>
        <w:t xml:space="preserve">duplex </w:t>
      </w:r>
      <w:r>
        <w:rPr>
          <w:lang w:val="en-US"/>
        </w:rPr>
        <w:t>gap</w:t>
      </w:r>
      <w:r>
        <w:rPr>
          <w:rFonts w:hint="eastAsia"/>
          <w:lang w:val="en-US" w:eastAsia="zh-CN"/>
        </w:rPr>
        <w:t>.</w:t>
      </w:r>
    </w:p>
    <w:p>
      <w:pPr>
        <w:keepNext w:val="0"/>
        <w:keepLines w:val="0"/>
        <w:pageBreakBefore w:val="0"/>
        <w:widowControl w:val="0"/>
        <w:suppressLineNumbers w:val="0"/>
        <w:kinsoku/>
        <w:wordWrap/>
        <w:topLinePunct w:val="0"/>
        <w:bidi w:val="0"/>
        <w:snapToGrid/>
        <w:jc w:val="left"/>
        <w:rPr>
          <w:lang w:eastAsia="zh-CN"/>
        </w:rPr>
      </w:pPr>
      <w:r>
        <w:rPr>
          <w:rFonts w:hint="eastAsia"/>
          <w:lang w:val="en-US" w:eastAsia="zh-CN"/>
        </w:rPr>
        <w:t>- For band n71</w:t>
      </w:r>
      <w:bookmarkStart w:id="10" w:name="OLE_LINK7"/>
      <w:r>
        <w:rPr>
          <w:rFonts w:hint="eastAsia"/>
          <w:lang w:val="en-US" w:eastAsia="zh-CN"/>
        </w:rPr>
        <w:t xml:space="preserve">, the </w:t>
      </w:r>
      <w:r>
        <w:rPr>
          <w:rFonts w:hint="eastAsia"/>
          <w:lang w:eastAsia="zh-CN"/>
        </w:rPr>
        <w:t>r</w:t>
      </w:r>
      <w:r>
        <w:rPr>
          <w:lang w:eastAsia="zh-CN"/>
        </w:rPr>
        <w:t xml:space="preserve">elative </w:t>
      </w:r>
      <w:r>
        <w:rPr>
          <w:rFonts w:hint="eastAsia"/>
          <w:lang w:val="en-US" w:eastAsia="zh-CN"/>
        </w:rPr>
        <w:t>d</w:t>
      </w:r>
      <w:r>
        <w:rPr>
          <w:lang w:eastAsia="zh-CN"/>
        </w:rPr>
        <w:t xml:space="preserve">uplex </w:t>
      </w:r>
      <w:r>
        <w:rPr>
          <w:rFonts w:hint="eastAsia"/>
          <w:lang w:val="en-US" w:eastAsia="zh-CN"/>
        </w:rPr>
        <w:t>g</w:t>
      </w:r>
      <w:r>
        <w:rPr>
          <w:lang w:eastAsia="zh-CN"/>
        </w:rPr>
        <w:t xml:space="preserve">ap </w:t>
      </w:r>
      <w:r>
        <w:rPr>
          <w:rFonts w:hint="eastAsia"/>
          <w:lang w:val="en-US" w:eastAsia="zh-CN"/>
        </w:rPr>
        <w:t xml:space="preserve">is 1.67% </w:t>
      </w:r>
      <w:r>
        <w:rPr>
          <w:lang w:eastAsia="zh-CN"/>
        </w:rPr>
        <w:t>(</w:t>
      </w:r>
      <w:r>
        <w:rPr>
          <w:rFonts w:hint="eastAsia"/>
          <w:lang w:val="en-US" w:eastAsia="zh-CN"/>
        </w:rPr>
        <w:t xml:space="preserve">i.e. </w:t>
      </w:r>
      <w:r>
        <w:rPr>
          <w:lang w:eastAsia="zh-CN"/>
        </w:rPr>
        <w:t>11 MHz/657.5 MHz)</w:t>
      </w:r>
      <w:bookmarkEnd w:id="10"/>
    </w:p>
    <w:p>
      <w:pPr>
        <w:keepNext w:val="0"/>
        <w:keepLines w:val="0"/>
        <w:pageBreakBefore w:val="0"/>
        <w:widowControl w:val="0"/>
        <w:suppressLineNumbers w:val="0"/>
        <w:kinsoku/>
        <w:wordWrap/>
        <w:topLinePunct w:val="0"/>
        <w:bidi w:val="0"/>
        <w:snapToGrid/>
        <w:jc w:val="left"/>
        <w:rPr>
          <w:rFonts w:hint="default"/>
          <w:lang w:val="en-US" w:eastAsia="zh-CN"/>
        </w:rPr>
      </w:pPr>
      <w:r>
        <w:rPr>
          <w:rFonts w:hint="eastAsia"/>
          <w:lang w:val="en-US" w:eastAsia="zh-CN"/>
        </w:rPr>
        <w:t xml:space="preserve">- For the new added band [n105], the </w:t>
      </w:r>
      <w:r>
        <w:rPr>
          <w:rFonts w:hint="eastAsia"/>
          <w:lang w:eastAsia="zh-CN"/>
        </w:rPr>
        <w:t>r</w:t>
      </w:r>
      <w:r>
        <w:rPr>
          <w:lang w:eastAsia="zh-CN"/>
        </w:rPr>
        <w:t xml:space="preserve">elative </w:t>
      </w:r>
      <w:r>
        <w:rPr>
          <w:rFonts w:hint="eastAsia"/>
          <w:lang w:val="en-US" w:eastAsia="zh-CN"/>
        </w:rPr>
        <w:t>d</w:t>
      </w:r>
      <w:r>
        <w:rPr>
          <w:lang w:eastAsia="zh-CN"/>
        </w:rPr>
        <w:t xml:space="preserve">uplex </w:t>
      </w:r>
      <w:r>
        <w:rPr>
          <w:rFonts w:hint="eastAsia"/>
          <w:lang w:val="en-US" w:eastAsia="zh-CN"/>
        </w:rPr>
        <w:t>g</w:t>
      </w:r>
      <w:r>
        <w:rPr>
          <w:lang w:eastAsia="zh-CN"/>
        </w:rPr>
        <w:t xml:space="preserve">ap </w:t>
      </w:r>
      <w:r>
        <w:rPr>
          <w:rFonts w:hint="eastAsia"/>
          <w:lang w:val="en-US" w:eastAsia="zh-CN"/>
        </w:rPr>
        <w:t xml:space="preserve">is 1.67% </w:t>
      </w:r>
      <w:r>
        <w:rPr>
          <w:lang w:eastAsia="zh-CN"/>
        </w:rPr>
        <w:t>(</w:t>
      </w:r>
      <w:r>
        <w:rPr>
          <w:rFonts w:hint="eastAsia"/>
          <w:lang w:val="en-US" w:eastAsia="zh-CN"/>
        </w:rPr>
        <w:t xml:space="preserve">i.e. </w:t>
      </w:r>
      <w:r>
        <w:rPr>
          <w:lang w:eastAsia="zh-CN"/>
        </w:rPr>
        <w:t>11 MHz/657.5 MHz)</w:t>
      </w:r>
    </w:p>
    <w:p>
      <w:pPr>
        <w:pStyle w:val="46"/>
        <w:ind w:left="0" w:leftChars="0" w:firstLine="0" w:firstLineChars="0"/>
        <w:rPr>
          <w:rFonts w:hint="default"/>
          <w:lang w:val="en-US" w:eastAsia="zh-CN"/>
        </w:rPr>
      </w:pPr>
      <w:r>
        <w:rPr>
          <w:rFonts w:hint="eastAsia"/>
          <w:lang w:val="en-US" w:eastAsia="zh-CN"/>
        </w:rPr>
        <w:t xml:space="preserve">The relative duplex gap for both n71 and [n105] are smaller than 1.75%, thus in theory the </w:t>
      </w:r>
      <w:r>
        <w:rPr>
          <w:lang w:eastAsia="zh-CN"/>
        </w:rPr>
        <w:t>relaxation on band edge</w:t>
      </w:r>
      <w:r>
        <w:rPr>
          <w:rFonts w:hint="eastAsia"/>
          <w:lang w:val="en-US" w:eastAsia="zh-CN"/>
        </w:rPr>
        <w:t xml:space="preserve"> (i.e. within </w:t>
      </w:r>
      <w:r>
        <w:rPr>
          <w:lang w:eastAsia="zh-CN"/>
        </w:rPr>
        <w:t>4 MHz of the band edge</w:t>
      </w:r>
      <w:r>
        <w:rPr>
          <w:rFonts w:hint="eastAsia"/>
          <w:lang w:val="en-US" w:eastAsia="zh-CN"/>
        </w:rPr>
        <w:t>)</w:t>
      </w:r>
      <w:r>
        <w:rPr>
          <w:lang w:eastAsia="zh-CN"/>
        </w:rPr>
        <w:t xml:space="preserve">. </w:t>
      </w:r>
      <w:r>
        <w:rPr>
          <w:rFonts w:hint="eastAsia"/>
          <w:lang w:val="en-US" w:eastAsia="zh-CN"/>
        </w:rPr>
        <w:t xml:space="preserve">However, band n71 does not consider such relaxation due to dual duplexer implementation was adopted for band n71, instead additional </w:t>
      </w:r>
      <w:r>
        <w:rPr>
          <w:lang w:eastAsia="zh-CN"/>
        </w:rPr>
        <w:t xml:space="preserve">duplexer switch loss </w:t>
      </w:r>
      <w:r>
        <w:rPr>
          <w:rFonts w:hint="eastAsia"/>
          <w:lang w:val="en-US" w:eastAsia="zh-CN"/>
        </w:rPr>
        <w:t xml:space="preserve">(0.5dB) was </w:t>
      </w:r>
      <w:r>
        <w:rPr>
          <w:lang w:eastAsia="zh-CN"/>
        </w:rPr>
        <w:t>considered</w:t>
      </w:r>
      <w:r>
        <w:rPr>
          <w:rFonts w:hint="eastAsia"/>
          <w:lang w:val="en-US" w:eastAsia="zh-CN"/>
        </w:rPr>
        <w:t xml:space="preserve"> for such implementation [3].</w:t>
      </w:r>
    </w:p>
    <w:p>
      <w:pPr>
        <w:keepNext w:val="0"/>
        <w:keepLines w:val="0"/>
        <w:pageBreakBefore w:val="0"/>
        <w:widowControl w:val="0"/>
        <w:suppressLineNumbers w:val="0"/>
        <w:kinsoku/>
        <w:wordWrap/>
        <w:topLinePunct w:val="0"/>
        <w:bidi w:val="0"/>
        <w:snapToGrid/>
        <w:jc w:val="left"/>
        <w:rPr>
          <w:rFonts w:hint="eastAsia"/>
          <w:lang w:val="en-US" w:eastAsia="zh-CN"/>
        </w:rPr>
      </w:pPr>
      <w:r>
        <w:rPr>
          <w:rFonts w:hint="eastAsia"/>
          <w:lang w:val="en-US" w:eastAsia="zh-CN"/>
        </w:rPr>
        <w:t xml:space="preserve">Comparing with band n71, </w:t>
      </w:r>
      <w:r>
        <w:t>single full-band UE duplex filter</w:t>
      </w:r>
      <w:r>
        <w:rPr>
          <w:rFonts w:hint="eastAsia"/>
          <w:lang w:val="en-US" w:eastAsia="zh-CN"/>
        </w:rPr>
        <w:t xml:space="preserve"> (Option B1) is adopted for the new added FDD band [n105], so </w:t>
      </w:r>
      <w:r>
        <w:rPr>
          <w:lang w:eastAsia="zh-CN"/>
        </w:rPr>
        <w:t xml:space="preserve">filter rolloff at frequencies within </w:t>
      </w:r>
      <w:bookmarkStart w:id="11" w:name="OLE_LINK9"/>
      <w:r>
        <w:rPr>
          <w:lang w:eastAsia="zh-CN"/>
        </w:rPr>
        <w:t>4 MHz of the band edge</w:t>
      </w:r>
      <w:bookmarkEnd w:id="11"/>
      <w:r>
        <w:rPr>
          <w:rFonts w:hint="eastAsia"/>
          <w:lang w:eastAsia="zh-CN"/>
        </w:rPr>
        <w:t xml:space="preserve"> </w:t>
      </w:r>
      <w:r>
        <w:rPr>
          <w:rFonts w:hint="eastAsia"/>
          <w:lang w:val="en-US" w:eastAsia="zh-CN"/>
        </w:rPr>
        <w:t xml:space="preserve">should be considered for the new added FDD band. Meanwhile, there is no need to consider additional </w:t>
      </w:r>
      <w:r>
        <w:rPr>
          <w:lang w:eastAsia="zh-CN"/>
        </w:rPr>
        <w:t>duplexer switch loss</w:t>
      </w:r>
      <w:r>
        <w:rPr>
          <w:rFonts w:hint="eastAsia"/>
          <w:lang w:val="en-US" w:eastAsia="zh-CN"/>
        </w:rPr>
        <w:t xml:space="preserve">. </w:t>
      </w:r>
    </w:p>
    <w:p>
      <w:pPr>
        <w:keepNext w:val="0"/>
        <w:keepLines w:val="0"/>
        <w:pageBreakBefore w:val="0"/>
        <w:widowControl w:val="0"/>
        <w:suppressLineNumbers w:val="0"/>
        <w:kinsoku/>
        <w:wordWrap/>
        <w:topLinePunct w:val="0"/>
        <w:bidi w:val="0"/>
        <w:snapToGrid/>
        <w:jc w:val="left"/>
        <w:rPr>
          <w:rFonts w:hint="eastAsia"/>
          <w:lang w:val="en-US" w:eastAsia="zh-CN"/>
        </w:rPr>
      </w:pPr>
      <w:r>
        <w:rPr>
          <w:rFonts w:hint="eastAsia"/>
          <w:lang w:val="en-US" w:eastAsia="zh-CN"/>
        </w:rPr>
        <w:t>The</w:t>
      </w:r>
      <w:bookmarkStart w:id="12" w:name="OLE_LINK13"/>
      <w:r>
        <w:rPr>
          <w:rFonts w:hint="eastAsia"/>
          <w:lang w:val="en-US" w:eastAsia="zh-CN"/>
        </w:rPr>
        <w:t xml:space="preserve"> maximum output power for the new added FDD band is proposed in Table 4.</w:t>
      </w:r>
    </w:p>
    <w:p>
      <w:pPr>
        <w:pStyle w:val="55"/>
      </w:pPr>
      <w:r>
        <w:t xml:space="preserve">Table </w:t>
      </w:r>
      <w:r>
        <w:rPr>
          <w:rFonts w:hint="eastAsia"/>
          <w:lang w:val="en-US" w:eastAsia="zh-CN"/>
        </w:rPr>
        <w:t>4</w:t>
      </w:r>
      <w:r>
        <w:t>: UE Power Class</w:t>
      </w:r>
    </w:p>
    <w:tbl>
      <w:tblPr>
        <w:tblStyle w:val="2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NR</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bookmarkStart w:id="13" w:name="OLE_LINK6"/>
            <w:r>
              <w:t>+2/-2</w:t>
            </w:r>
            <w:bookmarkEnd w:id="13"/>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ascii="Arial" w:hAnsi="Arial" w:eastAsia="宋体" w:cs="Arial"/>
                <w:color w:val="0000FF"/>
                <w:sz w:val="18"/>
                <w:lang w:val="en-US" w:eastAsia="zh-CN"/>
              </w:rP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color w:val="0000FF"/>
                <w:lang w:val="en-US"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color w:val="0000FF"/>
                <w:lang w:val="en-US" w:eastAsia="zh-CN"/>
              </w:rPr>
            </w:pPr>
            <w:r>
              <w:rPr>
                <w:rFonts w:hint="eastAsia"/>
                <w:color w:val="0000FF"/>
                <w:lang w:val="en-US" w:eastAsia="zh-CN"/>
              </w:rPr>
              <w:t>[</w:t>
            </w:r>
            <w:r>
              <w:rPr>
                <w:color w:val="0000FF"/>
              </w:rPr>
              <w:t>±2</w:t>
            </w:r>
            <w:r>
              <w:rPr>
                <w:rFonts w:hint="eastAsia"/>
                <w:color w:val="0000FF"/>
                <w:lang w:val="en-US" w:eastAsia="zh-CN"/>
              </w:rPr>
              <w:t>]</w:t>
            </w:r>
            <w:r>
              <w:rPr>
                <w:color w:val="0000FF"/>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bookmarkEnd w:id="12"/>
    </w:tbl>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p>
    <w:p>
      <w:pPr>
        <w:keepNext w:val="0"/>
        <w:keepLines w:val="0"/>
        <w:pageBreakBefore w:val="0"/>
        <w:widowControl w:val="0"/>
        <w:suppressLineNumbers w:val="0"/>
        <w:kinsoku/>
        <w:wordWrap/>
        <w:topLinePunct w:val="0"/>
        <w:bidi w:val="0"/>
        <w:snapToGrid/>
        <w:jc w:val="left"/>
        <w:rPr>
          <w:rFonts w:hint="eastAsia"/>
          <w:b/>
          <w:bCs/>
          <w:i w:val="0"/>
          <w:iCs w:val="0"/>
          <w:u w:val="single"/>
          <w:lang w:val="en-US" w:eastAsia="zh-CN"/>
        </w:rPr>
      </w:pPr>
      <w:bookmarkStart w:id="14" w:name="OLE_LINK14"/>
      <w:r>
        <w:rPr>
          <w:rFonts w:hint="eastAsia"/>
          <w:b/>
          <w:bCs/>
          <w:i w:val="0"/>
          <w:iCs w:val="0"/>
          <w:u w:val="single"/>
          <w:lang w:val="en-US" w:eastAsia="zh-CN"/>
        </w:rPr>
        <w:t>MPR</w:t>
      </w:r>
    </w:p>
    <w:bookmarkEnd w:id="14"/>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val="0"/>
          <w:bCs w:val="0"/>
          <w:i w:val="0"/>
          <w:iCs w:val="0"/>
          <w:lang w:val="en-US" w:eastAsia="zh-CN"/>
        </w:rPr>
        <w:t>The relative channel bandwidth for the new added FDD band [n105] equals to 2.93%, which is smaller than 3%, so the current MPR value can be reused for the new added FDD band [n105].</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bCs/>
          <w:i w:val="0"/>
          <w:iCs w:val="0"/>
          <w:u w:val="single"/>
          <w:lang w:val="en-US" w:eastAsia="zh-CN"/>
        </w:rPr>
        <w:t>Rx requirements</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val="0"/>
          <w:bCs w:val="0"/>
          <w:i w:val="0"/>
          <w:iCs w:val="0"/>
          <w:lang w:val="en-US" w:eastAsia="zh-CN"/>
        </w:rPr>
        <w:t>For other Rx requirements, such as REFSEN and in-band/out-of-band/narrow band blocking requirements, due to these requirements in current spec are band dependence, thus requirements for the new added FDD band should be defined.</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val="0"/>
          <w:bCs w:val="0"/>
          <w:i w:val="0"/>
          <w:iCs w:val="0"/>
          <w:lang w:val="en-US" w:eastAsia="zh-CN"/>
        </w:rPr>
        <w:t>Let</w:t>
      </w:r>
      <w:r>
        <w:rPr>
          <w:rFonts w:hint="default"/>
          <w:b w:val="0"/>
          <w:bCs w:val="0"/>
          <w:i w:val="0"/>
          <w:iCs w:val="0"/>
          <w:lang w:val="en-US" w:eastAsia="zh-CN"/>
        </w:rPr>
        <w:t>’</w:t>
      </w:r>
      <w:r>
        <w:rPr>
          <w:rFonts w:hint="eastAsia"/>
          <w:b w:val="0"/>
          <w:bCs w:val="0"/>
          <w:i w:val="0"/>
          <w:iCs w:val="0"/>
          <w:lang w:val="en-US" w:eastAsia="zh-CN"/>
        </w:rPr>
        <w:t>s take REFSEN requirements for an example, the ratio of Tx-Rx frequency separation and duplexer gap for both n71 and [n105] are larger than 4, and the duplex gap are the same for both bands n71 and [n105]. Also, both n71 and new added FDD band [n105] are suffered by the self interference caused by its own Tx for 15MHz (CIM7) and 20MHz (CIM5), however due to the DL low frequency of band [n105] is additional extended 5MHz, which cause the overlapping frequency range between CIM5/7 and the impacted Rx are different in the case of UL resource blocks shall be located as close as possible to the downlink operating band. Therefore, some evaluations would be needed.</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p>
    <w:p>
      <w:pPr>
        <w:keepNext w:val="0"/>
        <w:keepLines w:val="0"/>
        <w:pageBreakBefore w:val="0"/>
        <w:widowControl w:val="0"/>
        <w:suppressLineNumbers w:val="0"/>
        <w:kinsoku/>
        <w:wordWrap/>
        <w:topLinePunct w:val="0"/>
        <w:bidi w:val="0"/>
        <w:snapToGrid/>
        <w:jc w:val="left"/>
        <w:rPr>
          <w:rFonts w:hint="eastAsia" w:eastAsia="宋体"/>
          <w:b/>
          <w:bCs/>
          <w:i w:val="0"/>
          <w:iCs w:val="0"/>
          <w:u w:val="single"/>
          <w:lang w:val="en-US" w:eastAsia="zh-CN"/>
        </w:rPr>
      </w:pPr>
      <w:r>
        <w:rPr>
          <w:rFonts w:hint="eastAsia" w:eastAsia="宋体"/>
          <w:b/>
          <w:bCs/>
          <w:i w:val="0"/>
          <w:iCs w:val="0"/>
          <w:u w:val="single"/>
          <w:lang w:val="en-US" w:eastAsia="zh-CN"/>
        </w:rPr>
        <w:t>Summary of corrections on TS38.101-1</w:t>
      </w:r>
    </w:p>
    <w:p>
      <w:pPr>
        <w:keepNext w:val="0"/>
        <w:keepLines w:val="0"/>
        <w:pageBreakBefore w:val="0"/>
        <w:widowControl w:val="0"/>
        <w:suppressLineNumbers w:val="0"/>
        <w:kinsoku/>
        <w:wordWrap/>
        <w:topLinePunct w:val="0"/>
        <w:bidi w:val="0"/>
        <w:snapToGrid/>
        <w:jc w:val="left"/>
        <w:rPr>
          <w:rFonts w:hint="default"/>
          <w:b w:val="0"/>
          <w:bCs w:val="0"/>
          <w:i w:val="0"/>
          <w:iCs w:val="0"/>
          <w:lang w:val="en-US" w:eastAsia="zh-CN"/>
        </w:rPr>
      </w:pPr>
      <w:r>
        <w:rPr>
          <w:rFonts w:hint="eastAsia"/>
          <w:b w:val="0"/>
          <w:bCs w:val="0"/>
          <w:i w:val="0"/>
          <w:iCs w:val="0"/>
          <w:lang w:val="en-US" w:eastAsia="zh-CN"/>
        </w:rPr>
        <w:t>Based on the above, the summary of the corrections on TS38.101-1 are given in table 5</w:t>
      </w: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w:t>
      </w:r>
      <w:r>
        <w:rPr>
          <w:rFonts w:hint="eastAsia" w:eastAsia="宋体" w:cs="Times New Roman"/>
          <w:b/>
          <w:bCs/>
          <w:color w:val="auto"/>
          <w:sz w:val="20"/>
          <w:szCs w:val="22"/>
          <w:lang w:val="en-US" w:eastAsia="zh-CN"/>
        </w:rPr>
        <w:t>5</w:t>
      </w:r>
      <w:r>
        <w:rPr>
          <w:rFonts w:hint="eastAsia" w:ascii="Times New Roman" w:hAnsi="Times New Roman" w:eastAsia="宋体" w:cs="Times New Roman"/>
          <w:b/>
          <w:bCs/>
          <w:color w:val="auto"/>
          <w:sz w:val="20"/>
          <w:szCs w:val="22"/>
          <w:lang w:val="en-US" w:eastAsia="zh-CN"/>
        </w:rPr>
        <w:t>. Summary of related RF requirement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color w:val="auto"/>
                <w:sz w:val="20"/>
                <w:szCs w:val="20"/>
                <w:vertAlign w:val="baseline"/>
                <w:lang w:val="en-US" w:eastAsia="zh-CN"/>
              </w:rPr>
            </w:pPr>
            <w:r>
              <w:rPr>
                <w:rFonts w:hint="eastAsia" w:ascii="Times New Roman" w:hAnsi="Times New Roman" w:eastAsia="宋体" w:cs="Times New Roman"/>
                <w:b/>
                <w:bCs/>
                <w:sz w:val="20"/>
                <w:szCs w:val="20"/>
                <w:vertAlign w:val="baseline"/>
                <w:lang w:val="en-US" w:eastAsia="zh-CN"/>
              </w:rPr>
              <w:t xml:space="preserve">General </w:t>
            </w:r>
            <w:r>
              <w:rPr>
                <w:rFonts w:hint="default" w:ascii="Times New Roman" w:hAnsi="Times New Roman" w:eastAsia="宋体" w:cs="Times New Roman"/>
                <w:b/>
                <w:bCs/>
                <w:sz w:val="20"/>
                <w:szCs w:val="20"/>
                <w:vertAlign w:val="baseline"/>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Operating bands</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A new FDD operating band for </w:t>
            </w:r>
            <w:r>
              <w:rPr>
                <w:rFonts w:hint="default" w:ascii="Times New Roman" w:hAnsi="Times New Roman" w:cs="Times New Roman"/>
                <w:sz w:val="20"/>
                <w:szCs w:val="20"/>
                <w:lang w:val="en-US" w:eastAsia="zh-CN"/>
              </w:rPr>
              <w:t>APT600MHz</w:t>
            </w:r>
            <w:r>
              <w:rPr>
                <w:rFonts w:hint="default" w:ascii="Times New Roman" w:hAnsi="Times New Roman" w:eastAsia="宋体" w:cs="Times New Roman"/>
                <w:color w:val="auto"/>
                <w:sz w:val="20"/>
                <w:szCs w:val="20"/>
                <w:vertAlign w:val="baseline"/>
                <w:lang w:val="en-US" w:eastAsia="zh-CN"/>
              </w:rPr>
              <w:t xml:space="preserv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UE channel bandwidth</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The supported channel bandwidths should be needed for the new added FDD band.</w:t>
            </w:r>
          </w:p>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In addition, asymmetric channel bandwidth should be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Channel arrangement</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The NR-ARFCN and sync ranter entries should be needed for the new added FDD band</w:t>
            </w:r>
          </w:p>
          <w:p>
            <w:pPr>
              <w:keepNext w:val="0"/>
              <w:keepLines w:val="0"/>
              <w:widowControl/>
              <w:suppressLineNumbers w:val="0"/>
              <w:overflowPunct w:val="0"/>
              <w:autoSpaceDE w:val="0"/>
              <w:autoSpaceDN w:val="0"/>
              <w:adjustRightInd w:val="0"/>
              <w:spacing w:after="180"/>
              <w:jc w:val="left"/>
              <w:textAlignment w:val="baseline"/>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In addition</w:t>
            </w:r>
            <w:r>
              <w:rPr>
                <w:rFonts w:hint="eastAsia" w:ascii="Times New Roman" w:hAnsi="Times New Roman" w:eastAsia="宋体" w:cs="Times New Roman"/>
                <w:color w:val="auto"/>
                <w:sz w:val="20"/>
                <w:szCs w:val="20"/>
                <w:vertAlign w:val="baseline"/>
                <w:lang w:val="en-US" w:eastAsia="zh-CN"/>
              </w:rPr>
              <w:t xml:space="preserve">, </w:t>
            </w:r>
            <w:r>
              <w:rPr>
                <w:rFonts w:hint="default" w:ascii="Times New Roman" w:hAnsi="Times New Roman" w:eastAsia="宋体" w:cs="Times New Roman"/>
                <w:color w:val="auto"/>
                <w:sz w:val="20"/>
                <w:szCs w:val="20"/>
                <w:vertAlign w:val="baseline"/>
                <w:lang w:val="en-US" w:eastAsia="zh-CN"/>
              </w:rPr>
              <w:t>TX–RX frequency separation</w:t>
            </w:r>
            <w:r>
              <w:rPr>
                <w:rFonts w:hint="eastAsia" w:cs="Times New Roman"/>
                <w:color w:val="auto"/>
                <w:sz w:val="20"/>
                <w:szCs w:val="20"/>
                <w:vertAlign w:val="baseline"/>
                <w:lang w:val="en-US" w:eastAsia="zh-CN"/>
              </w:rPr>
              <w:t xml:space="preserve"> </w:t>
            </w:r>
            <w:r>
              <w:rPr>
                <w:rFonts w:hint="default" w:ascii="Times New Roman" w:hAnsi="Times New Roman" w:eastAsia="宋体" w:cs="Times New Roman"/>
                <w:color w:val="auto"/>
                <w:sz w:val="20"/>
                <w:szCs w:val="20"/>
                <w:vertAlign w:val="baseline"/>
                <w:lang w:val="en-US" w:eastAsia="zh-CN"/>
              </w:rPr>
              <w:t>should be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 xml:space="preserve">Tx </w:t>
            </w:r>
            <w:r>
              <w:rPr>
                <w:rFonts w:hint="eastAsia" w:eastAsia="宋体" w:cs="Times New Roman"/>
                <w:b/>
                <w:bCs/>
                <w:sz w:val="20"/>
                <w:szCs w:val="20"/>
                <w:vertAlign w:val="baseline"/>
                <w:lang w:val="en-US" w:eastAsia="zh-CN"/>
              </w:rPr>
              <w:t xml:space="preserve">RF requirements </w:t>
            </w:r>
            <w:r>
              <w:rPr>
                <w:rFonts w:hint="default" w:ascii="Times New Roman" w:hAnsi="Times New Roman" w:eastAsia="宋体" w:cs="Times New Roman"/>
                <w:b/>
                <w:bCs/>
                <w:sz w:val="20"/>
                <w:szCs w:val="20"/>
                <w:vertAlign w:val="baseline"/>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UE maximum output power</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23dBm maximum output power (i.e. PC3) </w:t>
            </w:r>
            <w:r>
              <w:rPr>
                <w:rFonts w:hint="eastAsia" w:ascii="Times New Roman" w:hAnsi="Times New Roman" w:eastAsia="宋体" w:cs="Times New Roman"/>
                <w:color w:val="auto"/>
                <w:sz w:val="20"/>
                <w:szCs w:val="20"/>
                <w:vertAlign w:val="baseline"/>
                <w:lang w:val="en-US" w:eastAsia="zh-CN"/>
              </w:rPr>
              <w:t xml:space="preserve">associated with the tolerance </w:t>
            </w:r>
            <w:r>
              <w:rPr>
                <w:rFonts w:hint="default" w:ascii="Times New Roman" w:hAnsi="Times New Roman" w:eastAsia="宋体" w:cs="Times New Roman"/>
                <w:color w:val="auto"/>
                <w:sz w:val="20"/>
                <w:szCs w:val="20"/>
                <w:vertAlign w:val="baseline"/>
                <w:lang w:val="en-US" w:eastAsia="zh-CN"/>
              </w:rPr>
              <w:t>should be needed for the new added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MPR</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A-MPR</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A-MPR re-evaluation would be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Configured transmitted power</w:t>
            </w:r>
          </w:p>
        </w:tc>
        <w:tc>
          <w:tcPr>
            <w:tcW w:w="6457" w:type="dxa"/>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vMerge w:val="restart"/>
            <w:noWrap w:val="0"/>
            <w:vAlign w:val="center"/>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both"/>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All of these requirements are defined as band, therefore it’s not expected to have any impacts with</w:t>
            </w:r>
            <w:r>
              <w:rPr>
                <w:rFonts w:hint="default" w:ascii="Times New Roman" w:hAnsi="Times New Roman" w:cs="Times New Roman"/>
                <w:color w:val="auto"/>
                <w:sz w:val="20"/>
                <w:szCs w:val="20"/>
                <w:vertAlign w:val="baseline"/>
                <w:lang w:val="en-US" w:eastAsia="zh-CN"/>
              </w:rPr>
              <w:t xml:space="preserve"> the introduction of </w:t>
            </w:r>
            <w:r>
              <w:rPr>
                <w:rFonts w:hint="eastAsia" w:ascii="Times New Roman" w:hAnsi="Times New Roman" w:cs="Times New Roman"/>
                <w:color w:val="auto"/>
                <w:sz w:val="20"/>
                <w:szCs w:val="20"/>
                <w:lang w:val="en-US" w:eastAsia="zh-CN"/>
              </w:rPr>
              <w:t>the new added FDD band.</w:t>
            </w:r>
            <w:r>
              <w:rPr>
                <w:rFonts w:hint="default" w:ascii="Times New Roman" w:hAnsi="Times New Roman" w:cs="Times New Roman"/>
                <w:color w:val="auto"/>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Spectrum Emission Mask</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vMerge w:val="continue"/>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2147483648" w:after="180" w:afterLines="-2147483648" w:line="240" w:lineRule="auto"/>
              <w:jc w:val="left"/>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kern w:val="2"/>
                <w:sz w:val="20"/>
                <w:szCs w:val="20"/>
                <w:lang w:val="en-US" w:eastAsia="zh-CN" w:bidi="ar"/>
              </w:rPr>
              <w:t>Spurious emissions for UE co-existence</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To add the new </w:t>
            </w:r>
            <w:r>
              <w:rPr>
                <w:rFonts w:hint="eastAsia" w:ascii="Times New Roman" w:hAnsi="Times New Roman" w:cs="Times New Roman"/>
                <w:sz w:val="20"/>
                <w:szCs w:val="20"/>
                <w:lang w:val="en-US" w:eastAsia="zh-CN"/>
              </w:rPr>
              <w:t xml:space="preserve">added </w:t>
            </w:r>
            <w:r>
              <w:rPr>
                <w:rFonts w:hint="default" w:ascii="Times New Roman" w:hAnsi="Times New Roman" w:cs="Times New Roman"/>
                <w:sz w:val="20"/>
                <w:szCs w:val="20"/>
                <w:lang w:val="en-US" w:eastAsia="zh-CN"/>
              </w:rPr>
              <w:t xml:space="preserve">FDD band as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eastAsia="zh-CN"/>
              </w:rPr>
              <w:t>protect</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band or </w:t>
            </w:r>
            <w:r>
              <w:rPr>
                <w:rFonts w:hint="default" w:ascii="Times New Roman" w:hAnsi="Times New Roman" w:eastAsia="宋体" w:cs="Times New Roman"/>
                <w:color w:val="auto"/>
                <w:kern w:val="2"/>
                <w:sz w:val="20"/>
                <w:szCs w:val="20"/>
                <w:lang w:val="en-US" w:eastAsia="zh-CN" w:bidi="ar"/>
              </w:rPr>
              <w:t>co-existence with other operating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Additional spurious emissions</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sz w:val="20"/>
                <w:szCs w:val="20"/>
                <w:lang w:val="en-US" w:eastAsia="zh-CN"/>
              </w:rPr>
              <w:t>To add the a</w:t>
            </w:r>
            <w:r>
              <w:rPr>
                <w:rFonts w:hint="default" w:ascii="Times New Roman" w:hAnsi="Times New Roman" w:cs="Times New Roman"/>
                <w:sz w:val="20"/>
                <w:szCs w:val="20"/>
              </w:rPr>
              <w:t>dditional spurious emissions requirements</w:t>
            </w:r>
            <w:r>
              <w:rPr>
                <w:rFonts w:hint="default" w:ascii="Times New Roman" w:hAnsi="Times New Roman" w:cs="Times New Roman"/>
                <w:sz w:val="20"/>
                <w:szCs w:val="20"/>
                <w:lang w:val="en-US" w:eastAsia="zh-CN"/>
              </w:rPr>
              <w:t xml:space="preserve"> </w:t>
            </w:r>
            <w:r>
              <w:rPr>
                <w:rFonts w:hint="default" w:ascii="Times New Roman" w:hAnsi="Times New Roman" w:cs="Times New Roman"/>
                <w:color w:val="auto"/>
                <w:sz w:val="20"/>
                <w:szCs w:val="20"/>
                <w:lang w:val="en-US" w:eastAsia="zh-CN"/>
              </w:rPr>
              <w:t xml:space="preserve">for </w:t>
            </w:r>
            <w:r>
              <w:rPr>
                <w:rFonts w:hint="eastAsia" w:ascii="Times New Roman" w:hAnsi="Times New Roman" w:cs="Times New Roman"/>
                <w:color w:val="auto"/>
                <w:sz w:val="20"/>
                <w:szCs w:val="20"/>
                <w:lang w:val="en-US" w:eastAsia="zh-CN"/>
              </w:rPr>
              <w:t>the new added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2"/>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 xml:space="preserve">Rx </w:t>
            </w:r>
            <w:r>
              <w:rPr>
                <w:rFonts w:hint="eastAsia" w:eastAsia="宋体" w:cs="Times New Roman"/>
                <w:b/>
                <w:bCs/>
                <w:sz w:val="20"/>
                <w:szCs w:val="20"/>
                <w:vertAlign w:val="baseline"/>
                <w:lang w:val="en-US" w:eastAsia="zh-CN"/>
              </w:rPr>
              <w:t xml:space="preserve">RF requirements </w:t>
            </w:r>
            <w:r>
              <w:rPr>
                <w:rFonts w:hint="default" w:ascii="Times New Roman" w:hAnsi="Times New Roman" w:eastAsia="宋体" w:cs="Times New Roman"/>
                <w:b/>
                <w:bCs/>
                <w:sz w:val="20"/>
                <w:szCs w:val="20"/>
                <w:vertAlign w:val="baseline"/>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default" w:ascii="Times New Roman" w:hAnsi="Times New Roman" w:cs="Times New Roman"/>
                <w:color w:val="auto"/>
                <w:sz w:val="20"/>
                <w:szCs w:val="20"/>
                <w:lang w:val="en-US" w:eastAsia="zh-CN"/>
              </w:rPr>
              <w:t>S</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New requirements are needed to be defined for </w:t>
            </w:r>
            <w:r>
              <w:rPr>
                <w:rFonts w:hint="eastAsia" w:ascii="Times New Roman" w:hAnsi="Times New Roman" w:cs="Times New Roman"/>
                <w:color w:val="auto"/>
                <w:sz w:val="20"/>
                <w:szCs w:val="20"/>
                <w:lang w:val="en-US" w:eastAsia="zh-CN"/>
              </w:rPr>
              <w:t>the new added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Maximum input level</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ACS, </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Blocking requirement</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sz w:val="20"/>
                <w:szCs w:val="20"/>
                <w:lang w:val="en-US" w:eastAsia="zh-CN"/>
              </w:rPr>
              <w:t xml:space="preserve">To </w:t>
            </w:r>
            <w:r>
              <w:rPr>
                <w:rFonts w:hint="eastAsia" w:cs="Times New Roman"/>
                <w:sz w:val="20"/>
                <w:szCs w:val="20"/>
                <w:lang w:val="en-US" w:eastAsia="zh-CN"/>
              </w:rPr>
              <w:t xml:space="preserve">include the requirements for </w:t>
            </w:r>
            <w:r>
              <w:rPr>
                <w:rFonts w:hint="default" w:ascii="Times New Roman" w:hAnsi="Times New Roman" w:cs="Times New Roman"/>
                <w:sz w:val="20"/>
                <w:szCs w:val="20"/>
                <w:lang w:val="en-US" w:eastAsia="zh-CN"/>
              </w:rPr>
              <w:t xml:space="preserve">the new </w:t>
            </w:r>
            <w:r>
              <w:rPr>
                <w:rFonts w:hint="eastAsia" w:ascii="Times New Roman" w:hAnsi="Times New Roman" w:cs="Times New Roman"/>
                <w:sz w:val="20"/>
                <w:szCs w:val="20"/>
                <w:lang w:val="en-US" w:eastAsia="zh-CN"/>
              </w:rPr>
              <w:t xml:space="preserve">added </w:t>
            </w:r>
            <w:r>
              <w:rPr>
                <w:rFonts w:hint="default" w:ascii="Times New Roman" w:hAnsi="Times New Roman" w:cs="Times New Roman"/>
                <w:sz w:val="20"/>
                <w:szCs w:val="20"/>
                <w:lang w:val="en-US" w:eastAsia="zh-CN"/>
              </w:rPr>
              <w:t>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Spurious response</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lang w:val="en-US" w:eastAsia="zh-CN"/>
              </w:rPr>
              <w:t>No requirement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color w:val="auto"/>
                <w:sz w:val="20"/>
                <w:szCs w:val="20"/>
                <w:lang w:val="en-US" w:eastAsia="zh-CN"/>
              </w:rPr>
              <w:t>No requirement impacts</w:t>
            </w:r>
          </w:p>
        </w:tc>
      </w:tr>
    </w:tbl>
    <w:p>
      <w:pPr>
        <w:keepNext w:val="0"/>
        <w:keepLines w:val="0"/>
        <w:pageBreakBefore w:val="0"/>
        <w:widowControl w:val="0"/>
        <w:suppressLineNumbers w:val="0"/>
        <w:kinsoku/>
        <w:wordWrap/>
        <w:topLinePunct w:val="0"/>
        <w:bidi w:val="0"/>
        <w:snapToGrid/>
        <w:jc w:val="left"/>
        <w:rPr>
          <w:rFonts w:hint="default"/>
          <w:b w:val="0"/>
          <w:bCs w:val="0"/>
          <w:i w:val="0"/>
          <w:iCs w:val="0"/>
          <w:lang w:val="en-US" w:eastAsia="zh-CN"/>
        </w:rPr>
      </w:pPr>
    </w:p>
    <w:bookmarkEnd w:id="5"/>
    <w:bookmarkEnd w:id="6"/>
    <w:bookmarkEnd w:id="7"/>
    <w:bookmarkEnd w:id="8"/>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the UE RF requirements for extend 600MHz,including system parameters, and some UE RF requirements The conclusions are:</w:t>
      </w:r>
    </w:p>
    <w:p>
      <w:pPr>
        <w:keepNext w:val="0"/>
        <w:keepLines w:val="0"/>
        <w:pageBreakBefore w:val="0"/>
        <w:widowControl w:val="0"/>
        <w:suppressLineNumbers w:val="0"/>
        <w:kinsoku/>
        <w:wordWrap/>
        <w:topLinePunct w:val="0"/>
        <w:bidi w:val="0"/>
        <w:snapToGrid/>
        <w:jc w:val="left"/>
        <w:rPr>
          <w:rFonts w:hint="eastAsia"/>
          <w:b/>
          <w:bCs/>
          <w:i w:val="0"/>
          <w:iCs w:val="0"/>
          <w:u w:val="single"/>
          <w:lang w:val="en-US" w:eastAsia="zh-CN"/>
        </w:rPr>
      </w:pPr>
      <w:r>
        <w:rPr>
          <w:rFonts w:hint="eastAsia"/>
          <w:b/>
          <w:bCs/>
          <w:i w:val="0"/>
          <w:iCs w:val="0"/>
          <w:u w:val="single"/>
          <w:lang w:val="en-US" w:eastAsia="zh-CN"/>
        </w:rPr>
        <w:t>Maximum output power</w:t>
      </w:r>
    </w:p>
    <w:p>
      <w:pPr>
        <w:keepNext w:val="0"/>
        <w:keepLines w:val="0"/>
        <w:pageBreakBefore w:val="0"/>
        <w:widowControl w:val="0"/>
        <w:suppressLineNumbers w:val="0"/>
        <w:kinsoku/>
        <w:wordWrap/>
        <w:topLinePunct w:val="0"/>
        <w:bidi w:val="0"/>
        <w:snapToGrid/>
        <w:jc w:val="left"/>
        <w:rPr>
          <w:rFonts w:hint="eastAsia"/>
          <w:lang w:val="en-US" w:eastAsia="zh-CN"/>
        </w:rPr>
      </w:pPr>
      <w:r>
        <w:rPr>
          <w:rFonts w:hint="eastAsia"/>
          <w:b/>
          <w:bCs/>
          <w:i/>
          <w:iCs/>
          <w:u w:val="none"/>
          <w:lang w:val="en-US" w:eastAsia="zh-CN"/>
        </w:rPr>
        <w:t>Proposal 1. The maximum output power for the new added FDD band is proposed in Table 4.</w:t>
      </w:r>
    </w:p>
    <w:p>
      <w:pPr>
        <w:pStyle w:val="55"/>
      </w:pPr>
      <w:r>
        <w:t xml:space="preserve">Table </w:t>
      </w:r>
      <w:r>
        <w:rPr>
          <w:rFonts w:hint="eastAsia"/>
          <w:lang w:val="en-US" w:eastAsia="zh-CN"/>
        </w:rPr>
        <w:t>4</w:t>
      </w:r>
      <w:r>
        <w:t>: UE Power Class</w:t>
      </w:r>
    </w:p>
    <w:tbl>
      <w:tblPr>
        <w:tblStyle w:val="2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NR</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ascii="Arial" w:hAnsi="Arial" w:eastAsia="宋体" w:cs="Arial"/>
                <w:color w:val="0000FF"/>
                <w:sz w:val="18"/>
                <w:lang w:val="en-US" w:eastAsia="zh-CN"/>
              </w:rP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color w:val="0000FF"/>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olor w:val="0000FF"/>
                <w:lang w:val="en-US" w:eastAsia="zh-CN"/>
              </w:rPr>
            </w:pPr>
            <w:r>
              <w:rPr>
                <w:rFonts w:hint="eastAsia"/>
                <w:color w:val="0000FF"/>
                <w:lang w:val="en-US"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color w:val="0000FF"/>
                <w:lang w:val="en-US" w:eastAsia="zh-CN"/>
              </w:rPr>
            </w:pPr>
            <w:r>
              <w:rPr>
                <w:rFonts w:hint="eastAsia"/>
                <w:color w:val="0000FF"/>
                <w:lang w:val="en-US" w:eastAsia="zh-CN"/>
              </w:rPr>
              <w:t>[</w:t>
            </w:r>
            <w:r>
              <w:rPr>
                <w:color w:val="0000FF"/>
              </w:rPr>
              <w:t>±2</w:t>
            </w:r>
            <w:r>
              <w:rPr>
                <w:rFonts w:hint="eastAsia"/>
                <w:color w:val="0000FF"/>
                <w:lang w:val="en-US" w:eastAsia="zh-CN"/>
              </w:rPr>
              <w:t>]</w:t>
            </w:r>
            <w:r>
              <w:rPr>
                <w:color w:val="0000FF"/>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bCs w:val="0"/>
          <w:i/>
          <w:iCs/>
          <w:kern w:val="0"/>
          <w:sz w:val="21"/>
          <w:szCs w:val="21"/>
          <w:highlight w:val="none"/>
          <w:u w:val="single"/>
          <w:lang w:val="en-US" w:eastAsia="zh-CN"/>
        </w:rPr>
      </w:pPr>
    </w:p>
    <w:p>
      <w:pPr>
        <w:keepNext w:val="0"/>
        <w:keepLines w:val="0"/>
        <w:pageBreakBefore w:val="0"/>
        <w:widowControl w:val="0"/>
        <w:suppressLineNumbers w:val="0"/>
        <w:kinsoku/>
        <w:wordWrap/>
        <w:topLinePunct w:val="0"/>
        <w:bidi w:val="0"/>
        <w:snapToGrid/>
        <w:jc w:val="left"/>
        <w:rPr>
          <w:rFonts w:hint="eastAsia"/>
          <w:b/>
          <w:bCs/>
          <w:i w:val="0"/>
          <w:iCs w:val="0"/>
          <w:u w:val="single"/>
          <w:lang w:val="en-US" w:eastAsia="zh-CN"/>
        </w:rPr>
      </w:pPr>
      <w:r>
        <w:rPr>
          <w:rFonts w:hint="eastAsia"/>
          <w:b/>
          <w:bCs/>
          <w:i w:val="0"/>
          <w:iCs w:val="0"/>
          <w:u w:val="single"/>
          <w:lang w:val="en-US" w:eastAsia="zh-CN"/>
        </w:rPr>
        <w:t>MPR</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eastAsia"/>
          <w:b/>
          <w:bCs/>
          <w:i/>
          <w:iCs/>
          <w:u w:val="none"/>
          <w:lang w:val="en-US" w:eastAsia="zh-CN"/>
        </w:rPr>
      </w:pPr>
      <w:r>
        <w:rPr>
          <w:rFonts w:hint="eastAsia"/>
          <w:b/>
          <w:bCs/>
          <w:i/>
          <w:iCs/>
          <w:u w:val="none"/>
          <w:lang w:val="en-US" w:eastAsia="zh-CN"/>
        </w:rPr>
        <w:t>Proposal 2. Current MPR can be reused for the new added FDD band [n105].</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eastAsia"/>
          <w:b/>
          <w:bCs/>
          <w:i/>
          <w:iCs/>
          <w:u w:val="none"/>
          <w:lang w:val="en-US" w:eastAsia="zh-CN"/>
        </w:rPr>
      </w:pP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default"/>
          <w:b/>
          <w:bCs/>
          <w:i/>
          <w:iCs/>
          <w:u w:val="single"/>
          <w:lang w:val="en-US" w:eastAsia="zh-CN"/>
        </w:rPr>
      </w:pPr>
      <w:r>
        <w:rPr>
          <w:rFonts w:hint="eastAsia"/>
          <w:b/>
          <w:bCs/>
          <w:i/>
          <w:iCs/>
          <w:u w:val="single"/>
          <w:lang w:val="en-US" w:eastAsia="zh-CN"/>
        </w:rPr>
        <w:t>REFSEN</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default" w:eastAsia="宋体"/>
          <w:b/>
          <w:bCs/>
          <w:i/>
          <w:iCs/>
          <w:u w:val="none"/>
          <w:lang w:val="en-US" w:eastAsia="zh-CN"/>
        </w:rPr>
      </w:pPr>
      <w:r>
        <w:rPr>
          <w:rFonts w:hint="eastAsia" w:eastAsia="宋体"/>
          <w:b/>
          <w:bCs/>
          <w:i/>
          <w:iCs/>
          <w:u w:val="none"/>
          <w:lang w:val="en-US" w:eastAsia="zh-CN"/>
        </w:rPr>
        <w:t xml:space="preserve">Proposal </w:t>
      </w:r>
      <w:r>
        <w:rPr>
          <w:rFonts w:hint="eastAsia"/>
          <w:b/>
          <w:bCs/>
          <w:i/>
          <w:iCs/>
          <w:u w:val="none"/>
          <w:lang w:val="en-US" w:eastAsia="zh-CN"/>
        </w:rPr>
        <w:t>3</w:t>
      </w:r>
      <w:r>
        <w:rPr>
          <w:rFonts w:hint="eastAsia" w:eastAsia="宋体"/>
          <w:b/>
          <w:bCs/>
          <w:i/>
          <w:iCs/>
          <w:u w:val="none"/>
          <w:lang w:val="en-US" w:eastAsia="zh-CN"/>
        </w:rPr>
        <w:t>. Some evaluations would be needed to define the sensitivity requirements for the new added FDD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val="0"/>
          <w:bCs w:val="0"/>
          <w:i w:val="0"/>
          <w:iCs w:val="0"/>
          <w:lang w:val="en-US" w:eastAsia="zh-CN"/>
        </w:rPr>
      </w:pPr>
      <w:r>
        <w:rPr>
          <w:rFonts w:hint="eastAsia" w:eastAsia="宋体"/>
          <w:bCs/>
          <w:kern w:val="0"/>
          <w:sz w:val="21"/>
          <w:szCs w:val="21"/>
          <w:highlight w:val="none"/>
          <w:lang w:val="en-US" w:eastAsia="zh-CN"/>
        </w:rPr>
        <w:t xml:space="preserve">In addition, </w:t>
      </w:r>
      <w:r>
        <w:rPr>
          <w:rFonts w:hint="eastAsia"/>
          <w:b w:val="0"/>
          <w:bCs w:val="0"/>
          <w:i w:val="0"/>
          <w:iCs w:val="0"/>
          <w:lang w:val="en-US" w:eastAsia="zh-CN"/>
        </w:rPr>
        <w:t>the summary of the corrections on TS38.101-1 are given in table 5.</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val="0"/>
          <w:bCs w:val="0"/>
          <w:i w:val="0"/>
          <w:iCs w:val="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napToGrid/>
        <w:spacing w:before="53" w:beforeLines="0" w:afterLines="0"/>
        <w:jc w:val="left"/>
        <w:rPr>
          <w:rFonts w:hint="eastAsia"/>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r>
        <w:rPr>
          <w:rFonts w:hint="eastAsia"/>
          <w:lang w:val="en-US" w:eastAsia="zh-CN"/>
        </w:rPr>
        <w:t xml:space="preserve">TR38.860, </w:t>
      </w:r>
      <w:r>
        <w:t>Study on Extended 600 MHz NR band</w:t>
      </w:r>
      <w:r>
        <w:rPr>
          <w:rFonts w:hint="eastAsia"/>
          <w:lang w:val="en-US" w:eastAsia="zh-CN"/>
        </w:rPr>
        <w:t>, v17.0.0</w:t>
      </w:r>
    </w:p>
    <w:p>
      <w:pPr>
        <w:keepNext w:val="0"/>
        <w:keepLines w:val="0"/>
        <w:pageBreakBefore w:val="0"/>
        <w:widowControl w:val="0"/>
        <w:tabs>
          <w:tab w:val="left" w:pos="90"/>
          <w:tab w:val="left" w:pos="1868"/>
          <w:tab w:val="right" w:pos="10648"/>
        </w:tabs>
        <w:kinsoku/>
        <w:wordWrap/>
        <w:topLinePunct w:val="0"/>
        <w:bidi w:val="0"/>
        <w:snapToGrid/>
        <w:spacing w:before="53" w:beforeLines="0" w:afterLines="0"/>
        <w:jc w:val="left"/>
        <w:rPr>
          <w:lang w:val="en-US"/>
        </w:rPr>
      </w:pPr>
      <w:r>
        <w:rPr>
          <w:rFonts w:hint="default"/>
          <w:lang w:val="en-US" w:eastAsia="zh-CN"/>
        </w:rPr>
        <w:t xml:space="preserve">[2] </w:t>
      </w:r>
      <w:r>
        <w:rPr>
          <w:rFonts w:hint="eastAsia"/>
          <w:lang w:val="en-US" w:eastAsia="zh-CN"/>
        </w:rPr>
        <w:t xml:space="preserve"> </w:t>
      </w:r>
      <w:r>
        <w:rPr>
          <w:lang w:val="en-US"/>
        </w:rPr>
        <w:t>R4-</w:t>
      </w:r>
      <w:r>
        <w:rPr>
          <w:rFonts w:hint="eastAsia"/>
          <w:lang w:val="en-US" w:eastAsia="zh-CN"/>
        </w:rPr>
        <w:t>221778</w:t>
      </w:r>
      <w:r>
        <w:rPr>
          <w:rFonts w:hint="default"/>
          <w:lang w:val="en-US" w:eastAsia="zh-CN"/>
        </w:rPr>
        <w:t xml:space="preserve">, </w:t>
      </w:r>
      <w:r>
        <w:rPr>
          <w:lang w:eastAsia="zh-CN"/>
        </w:rPr>
        <w:t>New WID on APT 600 MHz</w:t>
      </w:r>
      <w:r>
        <w:t xml:space="preserve"> NR band</w:t>
      </w:r>
      <w:r>
        <w:rPr>
          <w:rFonts w:hint="default"/>
          <w:lang w:val="en-US" w:eastAsia="zh-CN"/>
        </w:rPr>
        <w:t xml:space="preserve">, </w:t>
      </w:r>
      <w:r>
        <w:t>Spark NZ</w:t>
      </w:r>
      <w:r>
        <w:rPr>
          <w:rFonts w:hint="eastAsia"/>
          <w:lang w:val="en-US" w:eastAsia="zh-CN"/>
        </w:rPr>
        <w:t xml:space="preserve">, </w:t>
      </w:r>
      <w:r>
        <w:rPr>
          <w:lang w:val="en-US"/>
        </w:rPr>
        <w:t>Qualcomm Incorporated</w:t>
      </w:r>
    </w:p>
    <w:p>
      <w:pPr>
        <w:keepNext w:val="0"/>
        <w:keepLines w:val="0"/>
        <w:pageBreakBefore w:val="0"/>
        <w:widowControl w:val="0"/>
        <w:tabs>
          <w:tab w:val="left" w:pos="90"/>
          <w:tab w:val="left" w:pos="1868"/>
          <w:tab w:val="right" w:pos="10648"/>
        </w:tabs>
        <w:kinsoku/>
        <w:wordWrap/>
        <w:topLinePunct w:val="0"/>
        <w:bidi w:val="0"/>
        <w:snapToGrid/>
        <w:spacing w:before="53" w:beforeLines="0" w:afterLines="0"/>
        <w:jc w:val="left"/>
        <w:rPr>
          <w:rFonts w:hint="eastAsia"/>
          <w:lang w:val="en-US" w:eastAsia="zh-CN"/>
        </w:rPr>
      </w:pPr>
      <w:r>
        <w:rPr>
          <w:rFonts w:hint="eastAsia"/>
          <w:lang w:val="en-US" w:eastAsia="zh-CN"/>
        </w:rPr>
        <w:t xml:space="preserve">[3]  TR36.775, </w:t>
      </w:r>
      <w:r>
        <w:rPr>
          <w:lang w:eastAsia="ja-JP"/>
        </w:rPr>
        <w:t>US 600 MHz Band for LTE</w:t>
      </w:r>
      <w:r>
        <w:rPr>
          <w:rFonts w:hint="eastAsia"/>
          <w:lang w:val="en-US" w:eastAsia="zh-CN"/>
        </w:rPr>
        <w:t>, v15.0.0</w:t>
      </w:r>
    </w:p>
    <w:p>
      <w:pPr>
        <w:keepNext w:val="0"/>
        <w:keepLines w:val="0"/>
        <w:pageBreakBefore w:val="0"/>
        <w:widowControl w:val="0"/>
        <w:tabs>
          <w:tab w:val="left" w:pos="90"/>
          <w:tab w:val="left" w:pos="1868"/>
          <w:tab w:val="right" w:pos="10648"/>
        </w:tabs>
        <w:kinsoku/>
        <w:wordWrap/>
        <w:topLinePunct w:val="0"/>
        <w:bidi w:val="0"/>
        <w:snapToGrid/>
        <w:spacing w:before="53" w:beforeLines="0" w:afterLines="0"/>
        <w:jc w:val="left"/>
        <w:rPr>
          <w:rFonts w:hint="default" w:eastAsia="宋体"/>
          <w:lang w:val="en-US" w:eastAsia="zh-CN"/>
        </w:rPr>
      </w:pPr>
      <w:r>
        <w:rPr>
          <w:rFonts w:hint="eastAsia" w:eastAsia="宋体"/>
          <w:lang w:val="en-US" w:eastAsia="zh-CN"/>
        </w:rPr>
        <w:t>[4]  R4-22xxxxx, Discussion on system parameter for APT600MHz, ZTE</w:t>
      </w:r>
    </w:p>
    <w:p>
      <w:pPr>
        <w:keepNext w:val="0"/>
        <w:keepLines w:val="0"/>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3668F"/>
    <w:rsid w:val="00C43BD4"/>
    <w:rsid w:val="00C45E33"/>
    <w:rsid w:val="00C50EDF"/>
    <w:rsid w:val="00C5398B"/>
    <w:rsid w:val="00C61564"/>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17B2"/>
    <w:rsid w:val="00FC3509"/>
    <w:rsid w:val="00FD026F"/>
    <w:rsid w:val="00FD0720"/>
    <w:rsid w:val="00FD5FC4"/>
    <w:rsid w:val="00FE4F39"/>
    <w:rsid w:val="00FF10BD"/>
    <w:rsid w:val="011A0B49"/>
    <w:rsid w:val="014A0623"/>
    <w:rsid w:val="01536583"/>
    <w:rsid w:val="01764F01"/>
    <w:rsid w:val="018107C9"/>
    <w:rsid w:val="01854FE9"/>
    <w:rsid w:val="018E207B"/>
    <w:rsid w:val="0190283E"/>
    <w:rsid w:val="019D155B"/>
    <w:rsid w:val="01A428BB"/>
    <w:rsid w:val="01AE307F"/>
    <w:rsid w:val="01AF2ED2"/>
    <w:rsid w:val="01B35169"/>
    <w:rsid w:val="01C00B7B"/>
    <w:rsid w:val="01D46B8D"/>
    <w:rsid w:val="01D866D8"/>
    <w:rsid w:val="01EE2663"/>
    <w:rsid w:val="01FB366B"/>
    <w:rsid w:val="01FD3930"/>
    <w:rsid w:val="020E1328"/>
    <w:rsid w:val="021B7C87"/>
    <w:rsid w:val="022D4A6E"/>
    <w:rsid w:val="023B0A39"/>
    <w:rsid w:val="023C78A7"/>
    <w:rsid w:val="023E03CD"/>
    <w:rsid w:val="02444B7E"/>
    <w:rsid w:val="024929E9"/>
    <w:rsid w:val="024B023C"/>
    <w:rsid w:val="024D6B6A"/>
    <w:rsid w:val="02510B5E"/>
    <w:rsid w:val="025548A3"/>
    <w:rsid w:val="02566C17"/>
    <w:rsid w:val="027275A1"/>
    <w:rsid w:val="027371D9"/>
    <w:rsid w:val="0276366F"/>
    <w:rsid w:val="027F646E"/>
    <w:rsid w:val="02866C14"/>
    <w:rsid w:val="028F6D4C"/>
    <w:rsid w:val="029A69A7"/>
    <w:rsid w:val="029B04E7"/>
    <w:rsid w:val="02BE732F"/>
    <w:rsid w:val="02DC3F9C"/>
    <w:rsid w:val="03073BDC"/>
    <w:rsid w:val="030B0647"/>
    <w:rsid w:val="030C40C1"/>
    <w:rsid w:val="03177BBF"/>
    <w:rsid w:val="03445E8F"/>
    <w:rsid w:val="035154D3"/>
    <w:rsid w:val="03527C38"/>
    <w:rsid w:val="035402E6"/>
    <w:rsid w:val="0356746F"/>
    <w:rsid w:val="03746F87"/>
    <w:rsid w:val="03814F5B"/>
    <w:rsid w:val="038B3141"/>
    <w:rsid w:val="03A03DF8"/>
    <w:rsid w:val="03A77DFA"/>
    <w:rsid w:val="03B339B1"/>
    <w:rsid w:val="03C05350"/>
    <w:rsid w:val="03C1287B"/>
    <w:rsid w:val="03C36B0E"/>
    <w:rsid w:val="03CF67FA"/>
    <w:rsid w:val="03E358F3"/>
    <w:rsid w:val="03E84DE8"/>
    <w:rsid w:val="04030035"/>
    <w:rsid w:val="04052F33"/>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61D2D"/>
    <w:rsid w:val="0522500E"/>
    <w:rsid w:val="052E568F"/>
    <w:rsid w:val="053973F0"/>
    <w:rsid w:val="053E65E7"/>
    <w:rsid w:val="0555228E"/>
    <w:rsid w:val="055C5454"/>
    <w:rsid w:val="057D1D66"/>
    <w:rsid w:val="059D265F"/>
    <w:rsid w:val="05B92EC1"/>
    <w:rsid w:val="05E078B3"/>
    <w:rsid w:val="0601277E"/>
    <w:rsid w:val="060C5AED"/>
    <w:rsid w:val="06103146"/>
    <w:rsid w:val="06172561"/>
    <w:rsid w:val="061E54DA"/>
    <w:rsid w:val="061E5E22"/>
    <w:rsid w:val="06366DFA"/>
    <w:rsid w:val="06460B91"/>
    <w:rsid w:val="0654187C"/>
    <w:rsid w:val="065475DE"/>
    <w:rsid w:val="06777F8E"/>
    <w:rsid w:val="067C28D6"/>
    <w:rsid w:val="068E06BC"/>
    <w:rsid w:val="069201CB"/>
    <w:rsid w:val="06B11838"/>
    <w:rsid w:val="06B741D9"/>
    <w:rsid w:val="06C457B6"/>
    <w:rsid w:val="06CD4A70"/>
    <w:rsid w:val="06DF4C13"/>
    <w:rsid w:val="06E7678C"/>
    <w:rsid w:val="06EE4F31"/>
    <w:rsid w:val="06F42A88"/>
    <w:rsid w:val="06F801C0"/>
    <w:rsid w:val="07031D7F"/>
    <w:rsid w:val="071C13A8"/>
    <w:rsid w:val="073D143C"/>
    <w:rsid w:val="074855FD"/>
    <w:rsid w:val="07627CA0"/>
    <w:rsid w:val="076319C4"/>
    <w:rsid w:val="07691233"/>
    <w:rsid w:val="076F169C"/>
    <w:rsid w:val="077241E3"/>
    <w:rsid w:val="07812364"/>
    <w:rsid w:val="078C5933"/>
    <w:rsid w:val="078D336C"/>
    <w:rsid w:val="07971B3F"/>
    <w:rsid w:val="07983294"/>
    <w:rsid w:val="07A5677E"/>
    <w:rsid w:val="07B51934"/>
    <w:rsid w:val="07B9290D"/>
    <w:rsid w:val="07BB64F5"/>
    <w:rsid w:val="07BE52B9"/>
    <w:rsid w:val="07D57946"/>
    <w:rsid w:val="07ED524D"/>
    <w:rsid w:val="07ED7B65"/>
    <w:rsid w:val="07EF6055"/>
    <w:rsid w:val="080124E3"/>
    <w:rsid w:val="080C7FA0"/>
    <w:rsid w:val="080F29BE"/>
    <w:rsid w:val="08341060"/>
    <w:rsid w:val="08787FF0"/>
    <w:rsid w:val="0889002B"/>
    <w:rsid w:val="08A44DA6"/>
    <w:rsid w:val="08AA245A"/>
    <w:rsid w:val="08BA6E24"/>
    <w:rsid w:val="08C562FD"/>
    <w:rsid w:val="08CA27B1"/>
    <w:rsid w:val="08CA2E18"/>
    <w:rsid w:val="08E916DF"/>
    <w:rsid w:val="08E9616B"/>
    <w:rsid w:val="08FC0AA5"/>
    <w:rsid w:val="09306537"/>
    <w:rsid w:val="09355076"/>
    <w:rsid w:val="09392119"/>
    <w:rsid w:val="09445E95"/>
    <w:rsid w:val="09543B3B"/>
    <w:rsid w:val="09600FBD"/>
    <w:rsid w:val="098143BC"/>
    <w:rsid w:val="09AB42DA"/>
    <w:rsid w:val="09BD407A"/>
    <w:rsid w:val="09DA0E26"/>
    <w:rsid w:val="09E55691"/>
    <w:rsid w:val="09F67CD5"/>
    <w:rsid w:val="0A0835C8"/>
    <w:rsid w:val="0A145721"/>
    <w:rsid w:val="0A3708FF"/>
    <w:rsid w:val="0A3B01F9"/>
    <w:rsid w:val="0A3F0488"/>
    <w:rsid w:val="0A402A36"/>
    <w:rsid w:val="0A591F78"/>
    <w:rsid w:val="0A646846"/>
    <w:rsid w:val="0A7304F6"/>
    <w:rsid w:val="0A9B1B16"/>
    <w:rsid w:val="0A9E3D3D"/>
    <w:rsid w:val="0AA077E0"/>
    <w:rsid w:val="0AC0212C"/>
    <w:rsid w:val="0ACB2C6F"/>
    <w:rsid w:val="0AD32338"/>
    <w:rsid w:val="0AD542C1"/>
    <w:rsid w:val="0ADD5A20"/>
    <w:rsid w:val="0AE10FD9"/>
    <w:rsid w:val="0AF13898"/>
    <w:rsid w:val="0AFB3228"/>
    <w:rsid w:val="0AFC6C07"/>
    <w:rsid w:val="0B0F025C"/>
    <w:rsid w:val="0B1A6333"/>
    <w:rsid w:val="0B2713F4"/>
    <w:rsid w:val="0B3D701F"/>
    <w:rsid w:val="0B3E7DD7"/>
    <w:rsid w:val="0B561995"/>
    <w:rsid w:val="0B5C2C2A"/>
    <w:rsid w:val="0B665E0A"/>
    <w:rsid w:val="0B7A5F22"/>
    <w:rsid w:val="0B8436DD"/>
    <w:rsid w:val="0B847B39"/>
    <w:rsid w:val="0B9E71DF"/>
    <w:rsid w:val="0BB524B8"/>
    <w:rsid w:val="0BC63DB2"/>
    <w:rsid w:val="0BCC4043"/>
    <w:rsid w:val="0BCC4B6A"/>
    <w:rsid w:val="0BEA5519"/>
    <w:rsid w:val="0C1E494F"/>
    <w:rsid w:val="0C3427D0"/>
    <w:rsid w:val="0C43327D"/>
    <w:rsid w:val="0C4426AF"/>
    <w:rsid w:val="0C4577EC"/>
    <w:rsid w:val="0C5C6396"/>
    <w:rsid w:val="0C650A20"/>
    <w:rsid w:val="0C6E11B8"/>
    <w:rsid w:val="0C723CD1"/>
    <w:rsid w:val="0C8C19B3"/>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49573A"/>
    <w:rsid w:val="0E6271DF"/>
    <w:rsid w:val="0E81568A"/>
    <w:rsid w:val="0E8B63BE"/>
    <w:rsid w:val="0E942250"/>
    <w:rsid w:val="0E963344"/>
    <w:rsid w:val="0E9E6E00"/>
    <w:rsid w:val="0EA40C1C"/>
    <w:rsid w:val="0ECB0E63"/>
    <w:rsid w:val="0ED50DDE"/>
    <w:rsid w:val="0EEC6F1D"/>
    <w:rsid w:val="0F103291"/>
    <w:rsid w:val="0F1D498B"/>
    <w:rsid w:val="0F337178"/>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0E19D0"/>
    <w:rsid w:val="101C4A03"/>
    <w:rsid w:val="101D0C86"/>
    <w:rsid w:val="104A023B"/>
    <w:rsid w:val="10505F3B"/>
    <w:rsid w:val="106D2686"/>
    <w:rsid w:val="107C3E2C"/>
    <w:rsid w:val="107D41AE"/>
    <w:rsid w:val="108C2479"/>
    <w:rsid w:val="10C715C5"/>
    <w:rsid w:val="10D335EF"/>
    <w:rsid w:val="10E746EA"/>
    <w:rsid w:val="10E83FE0"/>
    <w:rsid w:val="10EC3168"/>
    <w:rsid w:val="10F52718"/>
    <w:rsid w:val="111958EF"/>
    <w:rsid w:val="1136515D"/>
    <w:rsid w:val="114028DC"/>
    <w:rsid w:val="116F1EB0"/>
    <w:rsid w:val="117B1D6A"/>
    <w:rsid w:val="117C2D9D"/>
    <w:rsid w:val="117F159E"/>
    <w:rsid w:val="11821DC9"/>
    <w:rsid w:val="11921373"/>
    <w:rsid w:val="119D7849"/>
    <w:rsid w:val="11C67B8F"/>
    <w:rsid w:val="11E57D4F"/>
    <w:rsid w:val="11F92DAB"/>
    <w:rsid w:val="11FC38D5"/>
    <w:rsid w:val="1210682D"/>
    <w:rsid w:val="121563D9"/>
    <w:rsid w:val="123A05DB"/>
    <w:rsid w:val="124240B9"/>
    <w:rsid w:val="12680E73"/>
    <w:rsid w:val="127701EE"/>
    <w:rsid w:val="127E5AA6"/>
    <w:rsid w:val="128B2749"/>
    <w:rsid w:val="129811DB"/>
    <w:rsid w:val="12AB7A32"/>
    <w:rsid w:val="12BB6535"/>
    <w:rsid w:val="12C7312B"/>
    <w:rsid w:val="12D22971"/>
    <w:rsid w:val="12D85654"/>
    <w:rsid w:val="12EE5106"/>
    <w:rsid w:val="13024DF8"/>
    <w:rsid w:val="1307341C"/>
    <w:rsid w:val="130E3629"/>
    <w:rsid w:val="131B39DD"/>
    <w:rsid w:val="13283BA4"/>
    <w:rsid w:val="13332F77"/>
    <w:rsid w:val="13334E1C"/>
    <w:rsid w:val="13346EE4"/>
    <w:rsid w:val="13384952"/>
    <w:rsid w:val="1355107F"/>
    <w:rsid w:val="135D4D2E"/>
    <w:rsid w:val="1366638D"/>
    <w:rsid w:val="136D76E8"/>
    <w:rsid w:val="137266E0"/>
    <w:rsid w:val="13A4459D"/>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934F1A"/>
    <w:rsid w:val="149559C4"/>
    <w:rsid w:val="14A759A3"/>
    <w:rsid w:val="14AC0C32"/>
    <w:rsid w:val="14BA705D"/>
    <w:rsid w:val="14C45576"/>
    <w:rsid w:val="14C76D6C"/>
    <w:rsid w:val="14DA3DA1"/>
    <w:rsid w:val="14E60B42"/>
    <w:rsid w:val="14EA1C4D"/>
    <w:rsid w:val="14EF531F"/>
    <w:rsid w:val="1515004B"/>
    <w:rsid w:val="15207BBA"/>
    <w:rsid w:val="152F4E1B"/>
    <w:rsid w:val="154D342A"/>
    <w:rsid w:val="1559587F"/>
    <w:rsid w:val="155A50AE"/>
    <w:rsid w:val="155C0457"/>
    <w:rsid w:val="1574662E"/>
    <w:rsid w:val="15751882"/>
    <w:rsid w:val="1575191B"/>
    <w:rsid w:val="157818C6"/>
    <w:rsid w:val="159F73BB"/>
    <w:rsid w:val="15B03F28"/>
    <w:rsid w:val="15B30C2D"/>
    <w:rsid w:val="15DE29CF"/>
    <w:rsid w:val="15E30A80"/>
    <w:rsid w:val="15FE63CE"/>
    <w:rsid w:val="1608480E"/>
    <w:rsid w:val="160D1A59"/>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38730F"/>
    <w:rsid w:val="17416499"/>
    <w:rsid w:val="17481B81"/>
    <w:rsid w:val="175007ED"/>
    <w:rsid w:val="176B45C6"/>
    <w:rsid w:val="176C447F"/>
    <w:rsid w:val="17770059"/>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626E9"/>
    <w:rsid w:val="183E1D37"/>
    <w:rsid w:val="184D0787"/>
    <w:rsid w:val="185D1883"/>
    <w:rsid w:val="18812331"/>
    <w:rsid w:val="18816F1C"/>
    <w:rsid w:val="18853F3E"/>
    <w:rsid w:val="18956325"/>
    <w:rsid w:val="18956393"/>
    <w:rsid w:val="18A8582C"/>
    <w:rsid w:val="18B50543"/>
    <w:rsid w:val="18CD7A02"/>
    <w:rsid w:val="19001FFC"/>
    <w:rsid w:val="190E2B4A"/>
    <w:rsid w:val="19256D7A"/>
    <w:rsid w:val="193275C2"/>
    <w:rsid w:val="19394FD2"/>
    <w:rsid w:val="19663168"/>
    <w:rsid w:val="19786B0A"/>
    <w:rsid w:val="199A2059"/>
    <w:rsid w:val="199B548B"/>
    <w:rsid w:val="19AD11F1"/>
    <w:rsid w:val="19B46E10"/>
    <w:rsid w:val="19BC01B2"/>
    <w:rsid w:val="19C456C1"/>
    <w:rsid w:val="19E711E9"/>
    <w:rsid w:val="19EB1779"/>
    <w:rsid w:val="19F061A1"/>
    <w:rsid w:val="1A054259"/>
    <w:rsid w:val="1A081816"/>
    <w:rsid w:val="1A165171"/>
    <w:rsid w:val="1A3510A8"/>
    <w:rsid w:val="1A4858FF"/>
    <w:rsid w:val="1A4C698A"/>
    <w:rsid w:val="1A5E4B5A"/>
    <w:rsid w:val="1A672B1C"/>
    <w:rsid w:val="1A8301C0"/>
    <w:rsid w:val="1A872248"/>
    <w:rsid w:val="1A993A2E"/>
    <w:rsid w:val="1A9B2279"/>
    <w:rsid w:val="1A9E6232"/>
    <w:rsid w:val="1AA74D3D"/>
    <w:rsid w:val="1AB34DB4"/>
    <w:rsid w:val="1AB613FD"/>
    <w:rsid w:val="1ACF5EB8"/>
    <w:rsid w:val="1AD26086"/>
    <w:rsid w:val="1AE013F8"/>
    <w:rsid w:val="1AE8570C"/>
    <w:rsid w:val="1AFB06A3"/>
    <w:rsid w:val="1B0F19AE"/>
    <w:rsid w:val="1B2160BB"/>
    <w:rsid w:val="1B246EBA"/>
    <w:rsid w:val="1B3637AD"/>
    <w:rsid w:val="1B383FFD"/>
    <w:rsid w:val="1B3E0DB5"/>
    <w:rsid w:val="1B454C94"/>
    <w:rsid w:val="1B6C0DF0"/>
    <w:rsid w:val="1B7F6005"/>
    <w:rsid w:val="1B9C269A"/>
    <w:rsid w:val="1B9E64C5"/>
    <w:rsid w:val="1BC01115"/>
    <w:rsid w:val="1BC36606"/>
    <w:rsid w:val="1BC44015"/>
    <w:rsid w:val="1BCA6284"/>
    <w:rsid w:val="1BF9578E"/>
    <w:rsid w:val="1C013494"/>
    <w:rsid w:val="1C053414"/>
    <w:rsid w:val="1C0C6675"/>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61469F"/>
    <w:rsid w:val="1D7072CE"/>
    <w:rsid w:val="1D9E30A9"/>
    <w:rsid w:val="1DAB1006"/>
    <w:rsid w:val="1DB33C11"/>
    <w:rsid w:val="1DC65562"/>
    <w:rsid w:val="1DD32F44"/>
    <w:rsid w:val="1DE94164"/>
    <w:rsid w:val="1DE9675A"/>
    <w:rsid w:val="1DEA459C"/>
    <w:rsid w:val="1DEE1B11"/>
    <w:rsid w:val="1E164B52"/>
    <w:rsid w:val="1E273844"/>
    <w:rsid w:val="1E2A5BC6"/>
    <w:rsid w:val="1E2F243E"/>
    <w:rsid w:val="1E455D19"/>
    <w:rsid w:val="1E595CAF"/>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4217"/>
    <w:rsid w:val="20446081"/>
    <w:rsid w:val="204852AD"/>
    <w:rsid w:val="204E6676"/>
    <w:rsid w:val="2053249B"/>
    <w:rsid w:val="205A5AA0"/>
    <w:rsid w:val="206C3FF8"/>
    <w:rsid w:val="20773A28"/>
    <w:rsid w:val="208574F4"/>
    <w:rsid w:val="208B07E6"/>
    <w:rsid w:val="208F6BAF"/>
    <w:rsid w:val="20A462BA"/>
    <w:rsid w:val="20A976E7"/>
    <w:rsid w:val="20B23F89"/>
    <w:rsid w:val="20BF2AAC"/>
    <w:rsid w:val="20C849C7"/>
    <w:rsid w:val="20DF66D2"/>
    <w:rsid w:val="20EC3F2E"/>
    <w:rsid w:val="20EC7C3E"/>
    <w:rsid w:val="210548E9"/>
    <w:rsid w:val="21124D15"/>
    <w:rsid w:val="212F3EBB"/>
    <w:rsid w:val="213E7119"/>
    <w:rsid w:val="21810744"/>
    <w:rsid w:val="218D6EF5"/>
    <w:rsid w:val="2195668B"/>
    <w:rsid w:val="21A130EA"/>
    <w:rsid w:val="21C267BF"/>
    <w:rsid w:val="21CD6BCD"/>
    <w:rsid w:val="21CE6067"/>
    <w:rsid w:val="21CF439A"/>
    <w:rsid w:val="21F00127"/>
    <w:rsid w:val="22152D0B"/>
    <w:rsid w:val="221D2FA3"/>
    <w:rsid w:val="22247705"/>
    <w:rsid w:val="2226635F"/>
    <w:rsid w:val="222D4F0B"/>
    <w:rsid w:val="223D7545"/>
    <w:rsid w:val="22411D14"/>
    <w:rsid w:val="22423BE1"/>
    <w:rsid w:val="22454449"/>
    <w:rsid w:val="22500810"/>
    <w:rsid w:val="226347BD"/>
    <w:rsid w:val="22682935"/>
    <w:rsid w:val="228A4698"/>
    <w:rsid w:val="22945167"/>
    <w:rsid w:val="22A55CD5"/>
    <w:rsid w:val="22C74EE2"/>
    <w:rsid w:val="22C8366E"/>
    <w:rsid w:val="22CB6237"/>
    <w:rsid w:val="22CD14B5"/>
    <w:rsid w:val="22E02C6E"/>
    <w:rsid w:val="22E04FF4"/>
    <w:rsid w:val="22E1121B"/>
    <w:rsid w:val="22EA4C70"/>
    <w:rsid w:val="22F75251"/>
    <w:rsid w:val="22F86F75"/>
    <w:rsid w:val="23131055"/>
    <w:rsid w:val="2316334C"/>
    <w:rsid w:val="2332108F"/>
    <w:rsid w:val="233C6F76"/>
    <w:rsid w:val="234449F5"/>
    <w:rsid w:val="23536618"/>
    <w:rsid w:val="23816932"/>
    <w:rsid w:val="23A9484E"/>
    <w:rsid w:val="23B32F98"/>
    <w:rsid w:val="23B84268"/>
    <w:rsid w:val="23D17D7B"/>
    <w:rsid w:val="23D36D91"/>
    <w:rsid w:val="23D569A9"/>
    <w:rsid w:val="23F70BA5"/>
    <w:rsid w:val="23F93D0D"/>
    <w:rsid w:val="2405417E"/>
    <w:rsid w:val="241B5C62"/>
    <w:rsid w:val="244E1A79"/>
    <w:rsid w:val="245872F9"/>
    <w:rsid w:val="245943D9"/>
    <w:rsid w:val="245E6B64"/>
    <w:rsid w:val="2463385E"/>
    <w:rsid w:val="24745F05"/>
    <w:rsid w:val="24967323"/>
    <w:rsid w:val="249D5FC8"/>
    <w:rsid w:val="24A1538E"/>
    <w:rsid w:val="24B9450F"/>
    <w:rsid w:val="24C83F94"/>
    <w:rsid w:val="24F60CDA"/>
    <w:rsid w:val="24F65E5E"/>
    <w:rsid w:val="250D450C"/>
    <w:rsid w:val="25134332"/>
    <w:rsid w:val="25141A5B"/>
    <w:rsid w:val="2521546A"/>
    <w:rsid w:val="252B49E0"/>
    <w:rsid w:val="25734B61"/>
    <w:rsid w:val="258F6BC4"/>
    <w:rsid w:val="25975923"/>
    <w:rsid w:val="259A3D0A"/>
    <w:rsid w:val="25A95F3E"/>
    <w:rsid w:val="25BE006F"/>
    <w:rsid w:val="25BF6041"/>
    <w:rsid w:val="25C35718"/>
    <w:rsid w:val="25CF0252"/>
    <w:rsid w:val="25D0248E"/>
    <w:rsid w:val="25F81D70"/>
    <w:rsid w:val="25FB5636"/>
    <w:rsid w:val="25FE58A9"/>
    <w:rsid w:val="26070462"/>
    <w:rsid w:val="260D2C45"/>
    <w:rsid w:val="26395C92"/>
    <w:rsid w:val="26484954"/>
    <w:rsid w:val="266237C3"/>
    <w:rsid w:val="267550B9"/>
    <w:rsid w:val="26B34807"/>
    <w:rsid w:val="26B870D2"/>
    <w:rsid w:val="26C472EC"/>
    <w:rsid w:val="26DD5AFA"/>
    <w:rsid w:val="26EC491A"/>
    <w:rsid w:val="26ED73E1"/>
    <w:rsid w:val="27047832"/>
    <w:rsid w:val="27204B5D"/>
    <w:rsid w:val="272F31A0"/>
    <w:rsid w:val="27342901"/>
    <w:rsid w:val="273D2762"/>
    <w:rsid w:val="27470B72"/>
    <w:rsid w:val="27525E32"/>
    <w:rsid w:val="27722E60"/>
    <w:rsid w:val="2778582E"/>
    <w:rsid w:val="27806765"/>
    <w:rsid w:val="279B1E53"/>
    <w:rsid w:val="27A86CC1"/>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2268C7"/>
    <w:rsid w:val="294E766A"/>
    <w:rsid w:val="2978319A"/>
    <w:rsid w:val="29A3014B"/>
    <w:rsid w:val="29A74CBD"/>
    <w:rsid w:val="29B01C34"/>
    <w:rsid w:val="29B16357"/>
    <w:rsid w:val="29BA0D88"/>
    <w:rsid w:val="29CC5F70"/>
    <w:rsid w:val="29CF32B2"/>
    <w:rsid w:val="29DE15A2"/>
    <w:rsid w:val="29E242A5"/>
    <w:rsid w:val="29EF3680"/>
    <w:rsid w:val="29EF424E"/>
    <w:rsid w:val="29F93F5E"/>
    <w:rsid w:val="29FA7F26"/>
    <w:rsid w:val="2A35650F"/>
    <w:rsid w:val="2A3F5E57"/>
    <w:rsid w:val="2A405845"/>
    <w:rsid w:val="2A4D593F"/>
    <w:rsid w:val="2A6E31F8"/>
    <w:rsid w:val="2A702E55"/>
    <w:rsid w:val="2A8A2F9C"/>
    <w:rsid w:val="2AAC5A06"/>
    <w:rsid w:val="2ABB3D6F"/>
    <w:rsid w:val="2AC253AD"/>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97A9D"/>
    <w:rsid w:val="2B7B70BF"/>
    <w:rsid w:val="2B8B422C"/>
    <w:rsid w:val="2BA07D38"/>
    <w:rsid w:val="2BB960F0"/>
    <w:rsid w:val="2BC10943"/>
    <w:rsid w:val="2BC40957"/>
    <w:rsid w:val="2BCB5DAA"/>
    <w:rsid w:val="2BF168F2"/>
    <w:rsid w:val="2BF369B9"/>
    <w:rsid w:val="2BFC0A4A"/>
    <w:rsid w:val="2C094904"/>
    <w:rsid w:val="2C0E55A1"/>
    <w:rsid w:val="2C1A7FD5"/>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3552A"/>
    <w:rsid w:val="2D340E86"/>
    <w:rsid w:val="2D395427"/>
    <w:rsid w:val="2D3D0E02"/>
    <w:rsid w:val="2D5372BC"/>
    <w:rsid w:val="2D5839DB"/>
    <w:rsid w:val="2D62469E"/>
    <w:rsid w:val="2D6309D8"/>
    <w:rsid w:val="2D6B40A9"/>
    <w:rsid w:val="2D8A3FA2"/>
    <w:rsid w:val="2D9767DC"/>
    <w:rsid w:val="2D980DDC"/>
    <w:rsid w:val="2D987372"/>
    <w:rsid w:val="2DCE26BE"/>
    <w:rsid w:val="2DCE5F69"/>
    <w:rsid w:val="2DDD4F0A"/>
    <w:rsid w:val="2DEB0C70"/>
    <w:rsid w:val="2E34792A"/>
    <w:rsid w:val="2E437E73"/>
    <w:rsid w:val="2E4D3DF2"/>
    <w:rsid w:val="2E5034DC"/>
    <w:rsid w:val="2E572AB9"/>
    <w:rsid w:val="2E58199C"/>
    <w:rsid w:val="2E7258DC"/>
    <w:rsid w:val="2E79458E"/>
    <w:rsid w:val="2E797A78"/>
    <w:rsid w:val="2E7C6A94"/>
    <w:rsid w:val="2E8321A5"/>
    <w:rsid w:val="2E9F6D95"/>
    <w:rsid w:val="2EA7058C"/>
    <w:rsid w:val="2EAE350B"/>
    <w:rsid w:val="2EB20A6C"/>
    <w:rsid w:val="2EBC2287"/>
    <w:rsid w:val="2EC60C7D"/>
    <w:rsid w:val="2ECA3116"/>
    <w:rsid w:val="2EDD7896"/>
    <w:rsid w:val="2EEA6E65"/>
    <w:rsid w:val="2F00052B"/>
    <w:rsid w:val="2F0367CD"/>
    <w:rsid w:val="2F1251F2"/>
    <w:rsid w:val="2F4F6FBB"/>
    <w:rsid w:val="2F664E2B"/>
    <w:rsid w:val="2F6C7BE3"/>
    <w:rsid w:val="2F783485"/>
    <w:rsid w:val="2F7F5C0B"/>
    <w:rsid w:val="2F8565D7"/>
    <w:rsid w:val="2F8762F9"/>
    <w:rsid w:val="2FA6492D"/>
    <w:rsid w:val="2FD71CA4"/>
    <w:rsid w:val="2FF93066"/>
    <w:rsid w:val="301A71CE"/>
    <w:rsid w:val="301E049B"/>
    <w:rsid w:val="302A4BE6"/>
    <w:rsid w:val="30307691"/>
    <w:rsid w:val="304478EC"/>
    <w:rsid w:val="30740F5E"/>
    <w:rsid w:val="30916BB1"/>
    <w:rsid w:val="30962F3E"/>
    <w:rsid w:val="30AA2585"/>
    <w:rsid w:val="30AC776E"/>
    <w:rsid w:val="30AD075E"/>
    <w:rsid w:val="30C16A19"/>
    <w:rsid w:val="30D32236"/>
    <w:rsid w:val="30FA7530"/>
    <w:rsid w:val="30FF2795"/>
    <w:rsid w:val="310375CD"/>
    <w:rsid w:val="311611B3"/>
    <w:rsid w:val="313C313D"/>
    <w:rsid w:val="314E236F"/>
    <w:rsid w:val="315E0B07"/>
    <w:rsid w:val="31621F46"/>
    <w:rsid w:val="316E7CA0"/>
    <w:rsid w:val="317206BF"/>
    <w:rsid w:val="317355FA"/>
    <w:rsid w:val="317932EA"/>
    <w:rsid w:val="317E5000"/>
    <w:rsid w:val="31B718F2"/>
    <w:rsid w:val="31C6492E"/>
    <w:rsid w:val="31D20051"/>
    <w:rsid w:val="31EF7EE8"/>
    <w:rsid w:val="31F93C44"/>
    <w:rsid w:val="3201404F"/>
    <w:rsid w:val="320901F5"/>
    <w:rsid w:val="320B7CCB"/>
    <w:rsid w:val="32105DE8"/>
    <w:rsid w:val="3235187E"/>
    <w:rsid w:val="3237186B"/>
    <w:rsid w:val="323B6798"/>
    <w:rsid w:val="32454376"/>
    <w:rsid w:val="32537B57"/>
    <w:rsid w:val="325F618E"/>
    <w:rsid w:val="326B2DFA"/>
    <w:rsid w:val="32757E99"/>
    <w:rsid w:val="328F5534"/>
    <w:rsid w:val="329A6ACE"/>
    <w:rsid w:val="32A230DB"/>
    <w:rsid w:val="32BF03D3"/>
    <w:rsid w:val="32C519C2"/>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75916"/>
    <w:rsid w:val="33BF4199"/>
    <w:rsid w:val="33FE62E7"/>
    <w:rsid w:val="340D25F6"/>
    <w:rsid w:val="342B76C7"/>
    <w:rsid w:val="343A1527"/>
    <w:rsid w:val="34447898"/>
    <w:rsid w:val="344E62FA"/>
    <w:rsid w:val="346E6610"/>
    <w:rsid w:val="3472234D"/>
    <w:rsid w:val="347D500F"/>
    <w:rsid w:val="34830157"/>
    <w:rsid w:val="34872D27"/>
    <w:rsid w:val="349164BD"/>
    <w:rsid w:val="34BD02AE"/>
    <w:rsid w:val="34DA26A8"/>
    <w:rsid w:val="34E960F1"/>
    <w:rsid w:val="350B42D5"/>
    <w:rsid w:val="350F6258"/>
    <w:rsid w:val="351A603C"/>
    <w:rsid w:val="352821F6"/>
    <w:rsid w:val="35387F19"/>
    <w:rsid w:val="3539550B"/>
    <w:rsid w:val="356678B4"/>
    <w:rsid w:val="3573649F"/>
    <w:rsid w:val="357E4B0A"/>
    <w:rsid w:val="35866D7F"/>
    <w:rsid w:val="358F6BDF"/>
    <w:rsid w:val="35C06D50"/>
    <w:rsid w:val="35C74B39"/>
    <w:rsid w:val="35D24294"/>
    <w:rsid w:val="35FF6F3C"/>
    <w:rsid w:val="36075F27"/>
    <w:rsid w:val="36121506"/>
    <w:rsid w:val="361D7A43"/>
    <w:rsid w:val="361F3323"/>
    <w:rsid w:val="36402EFA"/>
    <w:rsid w:val="36496A51"/>
    <w:rsid w:val="365623F6"/>
    <w:rsid w:val="36670090"/>
    <w:rsid w:val="368230C6"/>
    <w:rsid w:val="368F7E4F"/>
    <w:rsid w:val="36985297"/>
    <w:rsid w:val="369F633B"/>
    <w:rsid w:val="36A30FDB"/>
    <w:rsid w:val="36A7007C"/>
    <w:rsid w:val="36B24AE8"/>
    <w:rsid w:val="36BD0DC4"/>
    <w:rsid w:val="36D51D00"/>
    <w:rsid w:val="36D66B5E"/>
    <w:rsid w:val="36DF7553"/>
    <w:rsid w:val="36E93760"/>
    <w:rsid w:val="36F75340"/>
    <w:rsid w:val="36FB4305"/>
    <w:rsid w:val="3708597F"/>
    <w:rsid w:val="37096815"/>
    <w:rsid w:val="370F7060"/>
    <w:rsid w:val="37134801"/>
    <w:rsid w:val="37173233"/>
    <w:rsid w:val="37226558"/>
    <w:rsid w:val="3734159D"/>
    <w:rsid w:val="37382526"/>
    <w:rsid w:val="37403FA9"/>
    <w:rsid w:val="374E78C1"/>
    <w:rsid w:val="374F3903"/>
    <w:rsid w:val="37557F38"/>
    <w:rsid w:val="3758590A"/>
    <w:rsid w:val="37602E60"/>
    <w:rsid w:val="378229A7"/>
    <w:rsid w:val="3784394E"/>
    <w:rsid w:val="37987437"/>
    <w:rsid w:val="37C94031"/>
    <w:rsid w:val="37CA042E"/>
    <w:rsid w:val="37D44549"/>
    <w:rsid w:val="37D77B09"/>
    <w:rsid w:val="37D97EDE"/>
    <w:rsid w:val="37DE0C5C"/>
    <w:rsid w:val="382B1BDF"/>
    <w:rsid w:val="382E392C"/>
    <w:rsid w:val="38342E90"/>
    <w:rsid w:val="38487A05"/>
    <w:rsid w:val="384B7332"/>
    <w:rsid w:val="385056AF"/>
    <w:rsid w:val="38706DCB"/>
    <w:rsid w:val="388E5848"/>
    <w:rsid w:val="38A94D18"/>
    <w:rsid w:val="38BD31EE"/>
    <w:rsid w:val="38CB3BDF"/>
    <w:rsid w:val="38D33D29"/>
    <w:rsid w:val="38E40A5B"/>
    <w:rsid w:val="39285D57"/>
    <w:rsid w:val="39372A0B"/>
    <w:rsid w:val="394B6470"/>
    <w:rsid w:val="395F1AEE"/>
    <w:rsid w:val="396F13A5"/>
    <w:rsid w:val="39872512"/>
    <w:rsid w:val="39A602F9"/>
    <w:rsid w:val="39BD45C8"/>
    <w:rsid w:val="39C2316A"/>
    <w:rsid w:val="39C90B7E"/>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B5746"/>
    <w:rsid w:val="3ADD2B05"/>
    <w:rsid w:val="3AE417E3"/>
    <w:rsid w:val="3AE440AF"/>
    <w:rsid w:val="3AF7667E"/>
    <w:rsid w:val="3B032215"/>
    <w:rsid w:val="3B113F51"/>
    <w:rsid w:val="3B307112"/>
    <w:rsid w:val="3B540533"/>
    <w:rsid w:val="3B5A2A22"/>
    <w:rsid w:val="3B7804A3"/>
    <w:rsid w:val="3B8E2153"/>
    <w:rsid w:val="3BA03B83"/>
    <w:rsid w:val="3BB11AE5"/>
    <w:rsid w:val="3BB20883"/>
    <w:rsid w:val="3BC34E75"/>
    <w:rsid w:val="3BCB270F"/>
    <w:rsid w:val="3BD96AA6"/>
    <w:rsid w:val="3C0429BF"/>
    <w:rsid w:val="3C12087C"/>
    <w:rsid w:val="3C1A201A"/>
    <w:rsid w:val="3C371D4B"/>
    <w:rsid w:val="3C3B4B9D"/>
    <w:rsid w:val="3C413C82"/>
    <w:rsid w:val="3C471C36"/>
    <w:rsid w:val="3C5A6B66"/>
    <w:rsid w:val="3C734413"/>
    <w:rsid w:val="3C982C18"/>
    <w:rsid w:val="3CA734F8"/>
    <w:rsid w:val="3CC74223"/>
    <w:rsid w:val="3CC828D0"/>
    <w:rsid w:val="3CDB5F96"/>
    <w:rsid w:val="3CE23F49"/>
    <w:rsid w:val="3CEC39B8"/>
    <w:rsid w:val="3CF720E3"/>
    <w:rsid w:val="3CF72D6A"/>
    <w:rsid w:val="3CF86D06"/>
    <w:rsid w:val="3D00620E"/>
    <w:rsid w:val="3D035226"/>
    <w:rsid w:val="3D1F5E26"/>
    <w:rsid w:val="3D21580F"/>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F95812"/>
    <w:rsid w:val="3E1D4B24"/>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A35EB"/>
    <w:rsid w:val="3F2C04C4"/>
    <w:rsid w:val="3F3E7C9F"/>
    <w:rsid w:val="3F416B99"/>
    <w:rsid w:val="3F4F5AD7"/>
    <w:rsid w:val="3F542E9C"/>
    <w:rsid w:val="3F6B75A6"/>
    <w:rsid w:val="3F840943"/>
    <w:rsid w:val="3F8C0A49"/>
    <w:rsid w:val="3F913853"/>
    <w:rsid w:val="3F9660C3"/>
    <w:rsid w:val="3FA40EDA"/>
    <w:rsid w:val="3FA827ED"/>
    <w:rsid w:val="3FB45C58"/>
    <w:rsid w:val="3FC36557"/>
    <w:rsid w:val="3FC956FF"/>
    <w:rsid w:val="3FD13F50"/>
    <w:rsid w:val="3FDC5F31"/>
    <w:rsid w:val="3FE04625"/>
    <w:rsid w:val="3FE86CE8"/>
    <w:rsid w:val="3FFB0F66"/>
    <w:rsid w:val="40146E6B"/>
    <w:rsid w:val="403052F1"/>
    <w:rsid w:val="403C23E0"/>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33A11"/>
    <w:rsid w:val="41513BC9"/>
    <w:rsid w:val="41735B7F"/>
    <w:rsid w:val="41B012C9"/>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1D393F"/>
    <w:rsid w:val="44300615"/>
    <w:rsid w:val="44371929"/>
    <w:rsid w:val="443740AF"/>
    <w:rsid w:val="44480935"/>
    <w:rsid w:val="444851FA"/>
    <w:rsid w:val="445E4DEE"/>
    <w:rsid w:val="445F16F3"/>
    <w:rsid w:val="44640994"/>
    <w:rsid w:val="446456BB"/>
    <w:rsid w:val="446B0434"/>
    <w:rsid w:val="44756A66"/>
    <w:rsid w:val="447E4EBE"/>
    <w:rsid w:val="447F0CBA"/>
    <w:rsid w:val="448B680A"/>
    <w:rsid w:val="449219D5"/>
    <w:rsid w:val="44957F46"/>
    <w:rsid w:val="44994CF5"/>
    <w:rsid w:val="44DC46EB"/>
    <w:rsid w:val="44F03F8F"/>
    <w:rsid w:val="44F14ECF"/>
    <w:rsid w:val="450D1007"/>
    <w:rsid w:val="45275172"/>
    <w:rsid w:val="452B5AFC"/>
    <w:rsid w:val="45332511"/>
    <w:rsid w:val="45412C46"/>
    <w:rsid w:val="45514AD5"/>
    <w:rsid w:val="45515643"/>
    <w:rsid w:val="4552412E"/>
    <w:rsid w:val="455908C0"/>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D2061"/>
    <w:rsid w:val="46B80AF8"/>
    <w:rsid w:val="46D37F0B"/>
    <w:rsid w:val="46D71533"/>
    <w:rsid w:val="46E53335"/>
    <w:rsid w:val="46E76A1B"/>
    <w:rsid w:val="47040E98"/>
    <w:rsid w:val="47155D89"/>
    <w:rsid w:val="473069AF"/>
    <w:rsid w:val="474823A0"/>
    <w:rsid w:val="474A0EAF"/>
    <w:rsid w:val="474E50BE"/>
    <w:rsid w:val="47521EC9"/>
    <w:rsid w:val="47696F9C"/>
    <w:rsid w:val="47725A17"/>
    <w:rsid w:val="477D3243"/>
    <w:rsid w:val="478821A1"/>
    <w:rsid w:val="479128A9"/>
    <w:rsid w:val="47975EDC"/>
    <w:rsid w:val="47983B19"/>
    <w:rsid w:val="47A3609D"/>
    <w:rsid w:val="47AD6EA6"/>
    <w:rsid w:val="47C01792"/>
    <w:rsid w:val="47C57A48"/>
    <w:rsid w:val="47D511BD"/>
    <w:rsid w:val="4808150F"/>
    <w:rsid w:val="480F51A8"/>
    <w:rsid w:val="48256B1B"/>
    <w:rsid w:val="482705AD"/>
    <w:rsid w:val="48282713"/>
    <w:rsid w:val="482E7184"/>
    <w:rsid w:val="484417FA"/>
    <w:rsid w:val="48450ECE"/>
    <w:rsid w:val="484759CD"/>
    <w:rsid w:val="484B14EC"/>
    <w:rsid w:val="486D732F"/>
    <w:rsid w:val="48713351"/>
    <w:rsid w:val="48802846"/>
    <w:rsid w:val="48850157"/>
    <w:rsid w:val="48B116EA"/>
    <w:rsid w:val="48B74C7A"/>
    <w:rsid w:val="48BE32BF"/>
    <w:rsid w:val="48C354EC"/>
    <w:rsid w:val="48C4799C"/>
    <w:rsid w:val="48D429DD"/>
    <w:rsid w:val="48E01C77"/>
    <w:rsid w:val="48E22285"/>
    <w:rsid w:val="48E50D90"/>
    <w:rsid w:val="48FA15CC"/>
    <w:rsid w:val="490C6C70"/>
    <w:rsid w:val="491B63DF"/>
    <w:rsid w:val="491D63E9"/>
    <w:rsid w:val="492A068A"/>
    <w:rsid w:val="4932285C"/>
    <w:rsid w:val="493E2F78"/>
    <w:rsid w:val="495217DF"/>
    <w:rsid w:val="4958367A"/>
    <w:rsid w:val="495A6765"/>
    <w:rsid w:val="498A16CD"/>
    <w:rsid w:val="49A33C27"/>
    <w:rsid w:val="49A750B5"/>
    <w:rsid w:val="49BE07DA"/>
    <w:rsid w:val="49C84AA0"/>
    <w:rsid w:val="49D7694D"/>
    <w:rsid w:val="4A0244D3"/>
    <w:rsid w:val="4A255046"/>
    <w:rsid w:val="4A2E1525"/>
    <w:rsid w:val="4A5A756D"/>
    <w:rsid w:val="4A785772"/>
    <w:rsid w:val="4A89105B"/>
    <w:rsid w:val="4AA341CC"/>
    <w:rsid w:val="4AC13295"/>
    <w:rsid w:val="4AC31003"/>
    <w:rsid w:val="4AC40F4C"/>
    <w:rsid w:val="4AD25F33"/>
    <w:rsid w:val="4ADE0DE3"/>
    <w:rsid w:val="4AE072CB"/>
    <w:rsid w:val="4AE93159"/>
    <w:rsid w:val="4AF02EA1"/>
    <w:rsid w:val="4B060B07"/>
    <w:rsid w:val="4B174032"/>
    <w:rsid w:val="4B250CF8"/>
    <w:rsid w:val="4B7C4100"/>
    <w:rsid w:val="4B830F9B"/>
    <w:rsid w:val="4B9B0C47"/>
    <w:rsid w:val="4B9D4011"/>
    <w:rsid w:val="4BB36BDD"/>
    <w:rsid w:val="4BC32290"/>
    <w:rsid w:val="4BD0339A"/>
    <w:rsid w:val="4BF32495"/>
    <w:rsid w:val="4BFA3FA2"/>
    <w:rsid w:val="4C1357DE"/>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D732D2"/>
    <w:rsid w:val="4DDD4847"/>
    <w:rsid w:val="4DEC0985"/>
    <w:rsid w:val="4E0538A3"/>
    <w:rsid w:val="4E0E6818"/>
    <w:rsid w:val="4E113CE3"/>
    <w:rsid w:val="4E27683A"/>
    <w:rsid w:val="4E2C74DD"/>
    <w:rsid w:val="4E4C50A3"/>
    <w:rsid w:val="4E510698"/>
    <w:rsid w:val="4E576363"/>
    <w:rsid w:val="4E635567"/>
    <w:rsid w:val="4E742982"/>
    <w:rsid w:val="4E9C0636"/>
    <w:rsid w:val="4EA30DB6"/>
    <w:rsid w:val="4EA7341F"/>
    <w:rsid w:val="4EDB58B2"/>
    <w:rsid w:val="4EE925CE"/>
    <w:rsid w:val="4EEF2E30"/>
    <w:rsid w:val="4EF24828"/>
    <w:rsid w:val="4EFE7F59"/>
    <w:rsid w:val="4F0A4A92"/>
    <w:rsid w:val="4F285975"/>
    <w:rsid w:val="4F2A7BF3"/>
    <w:rsid w:val="4F2E2624"/>
    <w:rsid w:val="4F4E1077"/>
    <w:rsid w:val="4F541468"/>
    <w:rsid w:val="4F546156"/>
    <w:rsid w:val="4F844A99"/>
    <w:rsid w:val="4F94662C"/>
    <w:rsid w:val="4FB00163"/>
    <w:rsid w:val="4FB208E7"/>
    <w:rsid w:val="4FE30332"/>
    <w:rsid w:val="4FE70BB4"/>
    <w:rsid w:val="4FE73C01"/>
    <w:rsid w:val="4FE87C31"/>
    <w:rsid w:val="4FFB5B36"/>
    <w:rsid w:val="500815B6"/>
    <w:rsid w:val="500B39BC"/>
    <w:rsid w:val="5022123F"/>
    <w:rsid w:val="502B7315"/>
    <w:rsid w:val="503F32CF"/>
    <w:rsid w:val="5041152A"/>
    <w:rsid w:val="504E75A7"/>
    <w:rsid w:val="507E1B25"/>
    <w:rsid w:val="508E3B94"/>
    <w:rsid w:val="508E4492"/>
    <w:rsid w:val="5090223F"/>
    <w:rsid w:val="50924591"/>
    <w:rsid w:val="50AB5EB6"/>
    <w:rsid w:val="50B16618"/>
    <w:rsid w:val="50BB6306"/>
    <w:rsid w:val="50CE69CB"/>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C93676"/>
    <w:rsid w:val="51CD14BE"/>
    <w:rsid w:val="51D129CA"/>
    <w:rsid w:val="51D93F8A"/>
    <w:rsid w:val="51E5046A"/>
    <w:rsid w:val="51E7700F"/>
    <w:rsid w:val="51F64BEF"/>
    <w:rsid w:val="521349F1"/>
    <w:rsid w:val="52272B85"/>
    <w:rsid w:val="523E09B5"/>
    <w:rsid w:val="524F4AA5"/>
    <w:rsid w:val="525770DA"/>
    <w:rsid w:val="525E17DE"/>
    <w:rsid w:val="52687B2A"/>
    <w:rsid w:val="526E0E82"/>
    <w:rsid w:val="527901C6"/>
    <w:rsid w:val="52A24532"/>
    <w:rsid w:val="52B3363A"/>
    <w:rsid w:val="52C4763C"/>
    <w:rsid w:val="52DE691D"/>
    <w:rsid w:val="52E04D27"/>
    <w:rsid w:val="52ED0C96"/>
    <w:rsid w:val="53061721"/>
    <w:rsid w:val="530C0E6B"/>
    <w:rsid w:val="532F77EA"/>
    <w:rsid w:val="533933AA"/>
    <w:rsid w:val="533B7F54"/>
    <w:rsid w:val="533F6571"/>
    <w:rsid w:val="535009E1"/>
    <w:rsid w:val="53650168"/>
    <w:rsid w:val="536C2A29"/>
    <w:rsid w:val="538859E4"/>
    <w:rsid w:val="53A20FFA"/>
    <w:rsid w:val="53A233E4"/>
    <w:rsid w:val="53A94C48"/>
    <w:rsid w:val="53AA7BC7"/>
    <w:rsid w:val="53AE5EA5"/>
    <w:rsid w:val="53B00B1F"/>
    <w:rsid w:val="53B2409D"/>
    <w:rsid w:val="53D466F5"/>
    <w:rsid w:val="53D6247A"/>
    <w:rsid w:val="53DB3477"/>
    <w:rsid w:val="53E77CBF"/>
    <w:rsid w:val="53FE7128"/>
    <w:rsid w:val="54247F22"/>
    <w:rsid w:val="542C29CD"/>
    <w:rsid w:val="542F1551"/>
    <w:rsid w:val="54381756"/>
    <w:rsid w:val="54596DB5"/>
    <w:rsid w:val="545A1EBF"/>
    <w:rsid w:val="5465631E"/>
    <w:rsid w:val="54727478"/>
    <w:rsid w:val="548A1FA9"/>
    <w:rsid w:val="54AA53A5"/>
    <w:rsid w:val="54B06F11"/>
    <w:rsid w:val="54B152D3"/>
    <w:rsid w:val="54B56DF4"/>
    <w:rsid w:val="54B93943"/>
    <w:rsid w:val="54BE5578"/>
    <w:rsid w:val="54BF52B5"/>
    <w:rsid w:val="54C30F6C"/>
    <w:rsid w:val="54D202CA"/>
    <w:rsid w:val="54D54E59"/>
    <w:rsid w:val="54DD41DB"/>
    <w:rsid w:val="54E43C38"/>
    <w:rsid w:val="54ED3D78"/>
    <w:rsid w:val="54F52BA3"/>
    <w:rsid w:val="54F54E04"/>
    <w:rsid w:val="550B4121"/>
    <w:rsid w:val="550D5CFC"/>
    <w:rsid w:val="55197997"/>
    <w:rsid w:val="552A6B56"/>
    <w:rsid w:val="5532385A"/>
    <w:rsid w:val="55445C19"/>
    <w:rsid w:val="554748F2"/>
    <w:rsid w:val="554D414C"/>
    <w:rsid w:val="554E7279"/>
    <w:rsid w:val="555431A8"/>
    <w:rsid w:val="55594FFB"/>
    <w:rsid w:val="55637CEB"/>
    <w:rsid w:val="55757FB9"/>
    <w:rsid w:val="55884237"/>
    <w:rsid w:val="558C7FAA"/>
    <w:rsid w:val="55A25EB7"/>
    <w:rsid w:val="55A82784"/>
    <w:rsid w:val="55A97512"/>
    <w:rsid w:val="55AF3C88"/>
    <w:rsid w:val="55B63FD5"/>
    <w:rsid w:val="55C35A76"/>
    <w:rsid w:val="55D40743"/>
    <w:rsid w:val="55DD6F2A"/>
    <w:rsid w:val="55E8339E"/>
    <w:rsid w:val="55F06771"/>
    <w:rsid w:val="56106284"/>
    <w:rsid w:val="5629572A"/>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55291B"/>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AD27D9"/>
    <w:rsid w:val="58AF1870"/>
    <w:rsid w:val="58B169A2"/>
    <w:rsid w:val="58B9636C"/>
    <w:rsid w:val="58C37133"/>
    <w:rsid w:val="58C93046"/>
    <w:rsid w:val="58C941B2"/>
    <w:rsid w:val="58D36BCB"/>
    <w:rsid w:val="58E6349C"/>
    <w:rsid w:val="58EF63EE"/>
    <w:rsid w:val="590317F0"/>
    <w:rsid w:val="59075000"/>
    <w:rsid w:val="593559FD"/>
    <w:rsid w:val="594079B2"/>
    <w:rsid w:val="594A13D7"/>
    <w:rsid w:val="5987482A"/>
    <w:rsid w:val="599C49A8"/>
    <w:rsid w:val="59A36725"/>
    <w:rsid w:val="59A8255D"/>
    <w:rsid w:val="59B21BF9"/>
    <w:rsid w:val="59BB4EA3"/>
    <w:rsid w:val="59D2163B"/>
    <w:rsid w:val="59E9525B"/>
    <w:rsid w:val="5A3C0F08"/>
    <w:rsid w:val="5A3E5B83"/>
    <w:rsid w:val="5A5663A3"/>
    <w:rsid w:val="5A571746"/>
    <w:rsid w:val="5A6253E3"/>
    <w:rsid w:val="5A8E6670"/>
    <w:rsid w:val="5A912613"/>
    <w:rsid w:val="5A9245E9"/>
    <w:rsid w:val="5A953D41"/>
    <w:rsid w:val="5ABC50F4"/>
    <w:rsid w:val="5ACC4940"/>
    <w:rsid w:val="5AD86A6D"/>
    <w:rsid w:val="5ADC2537"/>
    <w:rsid w:val="5AEC14F6"/>
    <w:rsid w:val="5AF124A4"/>
    <w:rsid w:val="5B141085"/>
    <w:rsid w:val="5B277ED0"/>
    <w:rsid w:val="5B28192B"/>
    <w:rsid w:val="5B2E7D32"/>
    <w:rsid w:val="5B500F1E"/>
    <w:rsid w:val="5B66707B"/>
    <w:rsid w:val="5B673066"/>
    <w:rsid w:val="5B785E83"/>
    <w:rsid w:val="5B7C1CD1"/>
    <w:rsid w:val="5B9251EF"/>
    <w:rsid w:val="5BA66302"/>
    <w:rsid w:val="5BAB5BC4"/>
    <w:rsid w:val="5BB20B74"/>
    <w:rsid w:val="5BC677D8"/>
    <w:rsid w:val="5BEB0120"/>
    <w:rsid w:val="5C097C4E"/>
    <w:rsid w:val="5C1A3A93"/>
    <w:rsid w:val="5C235386"/>
    <w:rsid w:val="5C363445"/>
    <w:rsid w:val="5C3B6CFC"/>
    <w:rsid w:val="5C4C2CF4"/>
    <w:rsid w:val="5C6B1600"/>
    <w:rsid w:val="5C7D70D1"/>
    <w:rsid w:val="5C8542A8"/>
    <w:rsid w:val="5CA1479B"/>
    <w:rsid w:val="5CA6294E"/>
    <w:rsid w:val="5CDB3358"/>
    <w:rsid w:val="5CED4E0C"/>
    <w:rsid w:val="5CEF1CED"/>
    <w:rsid w:val="5D034EE9"/>
    <w:rsid w:val="5D0366E8"/>
    <w:rsid w:val="5D044FED"/>
    <w:rsid w:val="5D0A06B6"/>
    <w:rsid w:val="5D1307E8"/>
    <w:rsid w:val="5D212A05"/>
    <w:rsid w:val="5D2450B8"/>
    <w:rsid w:val="5D2F4802"/>
    <w:rsid w:val="5D3444E6"/>
    <w:rsid w:val="5D3F0BDF"/>
    <w:rsid w:val="5D472719"/>
    <w:rsid w:val="5D5B7098"/>
    <w:rsid w:val="5D634782"/>
    <w:rsid w:val="5D6E1B86"/>
    <w:rsid w:val="5D8A2CFF"/>
    <w:rsid w:val="5D960EE9"/>
    <w:rsid w:val="5D9A0CFA"/>
    <w:rsid w:val="5DD14397"/>
    <w:rsid w:val="5DD3123F"/>
    <w:rsid w:val="5DD71C7A"/>
    <w:rsid w:val="5DD734EC"/>
    <w:rsid w:val="5DEC05A1"/>
    <w:rsid w:val="5DF953E2"/>
    <w:rsid w:val="5DFD51DB"/>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67AE3"/>
    <w:rsid w:val="5ECA3D37"/>
    <w:rsid w:val="5EE153F8"/>
    <w:rsid w:val="5EED7893"/>
    <w:rsid w:val="5F0A3A61"/>
    <w:rsid w:val="5F5034D0"/>
    <w:rsid w:val="5F555F37"/>
    <w:rsid w:val="5F683B6E"/>
    <w:rsid w:val="5F875C0C"/>
    <w:rsid w:val="5F8F0B9E"/>
    <w:rsid w:val="5F8F267A"/>
    <w:rsid w:val="5F9D1F1E"/>
    <w:rsid w:val="5FB94C48"/>
    <w:rsid w:val="5FF37587"/>
    <w:rsid w:val="5FFE57B7"/>
    <w:rsid w:val="60060CD5"/>
    <w:rsid w:val="60085AA3"/>
    <w:rsid w:val="600E362B"/>
    <w:rsid w:val="60183392"/>
    <w:rsid w:val="601A4CB1"/>
    <w:rsid w:val="60224C99"/>
    <w:rsid w:val="602C236D"/>
    <w:rsid w:val="603967D7"/>
    <w:rsid w:val="603D3325"/>
    <w:rsid w:val="60470CE3"/>
    <w:rsid w:val="60673C40"/>
    <w:rsid w:val="606A52D4"/>
    <w:rsid w:val="607C3753"/>
    <w:rsid w:val="608440B9"/>
    <w:rsid w:val="608D1D4E"/>
    <w:rsid w:val="6092569C"/>
    <w:rsid w:val="60A23A7B"/>
    <w:rsid w:val="60AD0357"/>
    <w:rsid w:val="60B004BE"/>
    <w:rsid w:val="60BA604C"/>
    <w:rsid w:val="60C30855"/>
    <w:rsid w:val="60C338B1"/>
    <w:rsid w:val="60D3576A"/>
    <w:rsid w:val="60D4742F"/>
    <w:rsid w:val="60D95276"/>
    <w:rsid w:val="60DE0CB4"/>
    <w:rsid w:val="60E06DEB"/>
    <w:rsid w:val="60E51841"/>
    <w:rsid w:val="60EB2B93"/>
    <w:rsid w:val="61105E59"/>
    <w:rsid w:val="61110088"/>
    <w:rsid w:val="61373297"/>
    <w:rsid w:val="61421EFD"/>
    <w:rsid w:val="615C5041"/>
    <w:rsid w:val="6182260C"/>
    <w:rsid w:val="61AE55B1"/>
    <w:rsid w:val="61C368D0"/>
    <w:rsid w:val="61D43A2B"/>
    <w:rsid w:val="61ED6954"/>
    <w:rsid w:val="61FF316E"/>
    <w:rsid w:val="621542CB"/>
    <w:rsid w:val="624263A2"/>
    <w:rsid w:val="624D12ED"/>
    <w:rsid w:val="625272C3"/>
    <w:rsid w:val="62715337"/>
    <w:rsid w:val="6280204D"/>
    <w:rsid w:val="6290769B"/>
    <w:rsid w:val="62943D08"/>
    <w:rsid w:val="62A411F8"/>
    <w:rsid w:val="62A46CAE"/>
    <w:rsid w:val="62BA7A46"/>
    <w:rsid w:val="62C376AC"/>
    <w:rsid w:val="62CE13CB"/>
    <w:rsid w:val="62D2197B"/>
    <w:rsid w:val="62F6011A"/>
    <w:rsid w:val="632739D3"/>
    <w:rsid w:val="6327422B"/>
    <w:rsid w:val="633B249F"/>
    <w:rsid w:val="63552D76"/>
    <w:rsid w:val="6359778B"/>
    <w:rsid w:val="635B63E3"/>
    <w:rsid w:val="638C3395"/>
    <w:rsid w:val="63BA3154"/>
    <w:rsid w:val="63CA2E8B"/>
    <w:rsid w:val="63E333C1"/>
    <w:rsid w:val="63F47D2A"/>
    <w:rsid w:val="63FE2D33"/>
    <w:rsid w:val="64264A79"/>
    <w:rsid w:val="642B210F"/>
    <w:rsid w:val="64304E58"/>
    <w:rsid w:val="64311867"/>
    <w:rsid w:val="64391ED3"/>
    <w:rsid w:val="6445632E"/>
    <w:rsid w:val="648939AA"/>
    <w:rsid w:val="648943F5"/>
    <w:rsid w:val="649B1AC2"/>
    <w:rsid w:val="64A7467B"/>
    <w:rsid w:val="64C86505"/>
    <w:rsid w:val="64FC75C8"/>
    <w:rsid w:val="64FE700F"/>
    <w:rsid w:val="6500327F"/>
    <w:rsid w:val="6506609B"/>
    <w:rsid w:val="65083216"/>
    <w:rsid w:val="65460728"/>
    <w:rsid w:val="65822810"/>
    <w:rsid w:val="65870C45"/>
    <w:rsid w:val="659D2F00"/>
    <w:rsid w:val="65A9658D"/>
    <w:rsid w:val="65AA6346"/>
    <w:rsid w:val="65B56C47"/>
    <w:rsid w:val="65B8262E"/>
    <w:rsid w:val="65BC15EE"/>
    <w:rsid w:val="65C74F5E"/>
    <w:rsid w:val="65D23D59"/>
    <w:rsid w:val="65D4773F"/>
    <w:rsid w:val="65DC5939"/>
    <w:rsid w:val="65DC7985"/>
    <w:rsid w:val="65F14641"/>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37A14"/>
    <w:rsid w:val="66DC317D"/>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57872"/>
    <w:rsid w:val="685C6395"/>
    <w:rsid w:val="686318DD"/>
    <w:rsid w:val="68635145"/>
    <w:rsid w:val="687F607E"/>
    <w:rsid w:val="68A34C5C"/>
    <w:rsid w:val="68E24981"/>
    <w:rsid w:val="69123F86"/>
    <w:rsid w:val="691C3525"/>
    <w:rsid w:val="69216128"/>
    <w:rsid w:val="69280874"/>
    <w:rsid w:val="695D6B21"/>
    <w:rsid w:val="69611EE7"/>
    <w:rsid w:val="696C708E"/>
    <w:rsid w:val="696F4D5D"/>
    <w:rsid w:val="69850877"/>
    <w:rsid w:val="698C13C5"/>
    <w:rsid w:val="69F0745A"/>
    <w:rsid w:val="6A1D59EC"/>
    <w:rsid w:val="6A247F72"/>
    <w:rsid w:val="6A3E2393"/>
    <w:rsid w:val="6A435B92"/>
    <w:rsid w:val="6A444DB8"/>
    <w:rsid w:val="6A4D4828"/>
    <w:rsid w:val="6A516AC3"/>
    <w:rsid w:val="6A5303BA"/>
    <w:rsid w:val="6A677080"/>
    <w:rsid w:val="6A711183"/>
    <w:rsid w:val="6A762B91"/>
    <w:rsid w:val="6A7B4B9C"/>
    <w:rsid w:val="6A9B4B41"/>
    <w:rsid w:val="6AAF014C"/>
    <w:rsid w:val="6AAF08B7"/>
    <w:rsid w:val="6ACB082B"/>
    <w:rsid w:val="6AD3247E"/>
    <w:rsid w:val="6AFF473B"/>
    <w:rsid w:val="6B2B0EFD"/>
    <w:rsid w:val="6B2C13E4"/>
    <w:rsid w:val="6B4B0A4C"/>
    <w:rsid w:val="6B50310B"/>
    <w:rsid w:val="6B5045E2"/>
    <w:rsid w:val="6B736A2E"/>
    <w:rsid w:val="6B8170D6"/>
    <w:rsid w:val="6B884219"/>
    <w:rsid w:val="6B90781F"/>
    <w:rsid w:val="6B922EE9"/>
    <w:rsid w:val="6BA9194F"/>
    <w:rsid w:val="6BE727F5"/>
    <w:rsid w:val="6C095F9F"/>
    <w:rsid w:val="6C141E72"/>
    <w:rsid w:val="6C240DF3"/>
    <w:rsid w:val="6C45610F"/>
    <w:rsid w:val="6C59472D"/>
    <w:rsid w:val="6C5976B1"/>
    <w:rsid w:val="6C5A4564"/>
    <w:rsid w:val="6C603744"/>
    <w:rsid w:val="6C637CCF"/>
    <w:rsid w:val="6C7802EB"/>
    <w:rsid w:val="6C79488C"/>
    <w:rsid w:val="6C89456C"/>
    <w:rsid w:val="6CA20D5B"/>
    <w:rsid w:val="6CD63FB3"/>
    <w:rsid w:val="6D056EA6"/>
    <w:rsid w:val="6D221E52"/>
    <w:rsid w:val="6D227835"/>
    <w:rsid w:val="6D3945B1"/>
    <w:rsid w:val="6D3C6626"/>
    <w:rsid w:val="6D5D0DB5"/>
    <w:rsid w:val="6D6855B1"/>
    <w:rsid w:val="6D7B4AB7"/>
    <w:rsid w:val="6D89784B"/>
    <w:rsid w:val="6D9E0566"/>
    <w:rsid w:val="6DF43BD4"/>
    <w:rsid w:val="6E0E1FAB"/>
    <w:rsid w:val="6E2143FB"/>
    <w:rsid w:val="6E2B76C9"/>
    <w:rsid w:val="6E317378"/>
    <w:rsid w:val="6E3C00E0"/>
    <w:rsid w:val="6E4215C6"/>
    <w:rsid w:val="6E4B0158"/>
    <w:rsid w:val="6E4D611F"/>
    <w:rsid w:val="6E5413AD"/>
    <w:rsid w:val="6E567C9E"/>
    <w:rsid w:val="6E635028"/>
    <w:rsid w:val="6E636A71"/>
    <w:rsid w:val="6E685B0A"/>
    <w:rsid w:val="6E73404A"/>
    <w:rsid w:val="6E7355AA"/>
    <w:rsid w:val="6E920B5B"/>
    <w:rsid w:val="6E990B16"/>
    <w:rsid w:val="6E997AB9"/>
    <w:rsid w:val="6EB169D3"/>
    <w:rsid w:val="6EB33CD1"/>
    <w:rsid w:val="6EB829B1"/>
    <w:rsid w:val="6EB978A9"/>
    <w:rsid w:val="6ECC3A24"/>
    <w:rsid w:val="6ED86D3E"/>
    <w:rsid w:val="6EE9744F"/>
    <w:rsid w:val="6EEC3F7C"/>
    <w:rsid w:val="6EF476D4"/>
    <w:rsid w:val="6EFE1485"/>
    <w:rsid w:val="6F031F8E"/>
    <w:rsid w:val="6F0D382C"/>
    <w:rsid w:val="6F2632E8"/>
    <w:rsid w:val="6F30363A"/>
    <w:rsid w:val="6F3316E5"/>
    <w:rsid w:val="6F346922"/>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822BAD"/>
    <w:rsid w:val="708746BC"/>
    <w:rsid w:val="708F7F54"/>
    <w:rsid w:val="709E3D85"/>
    <w:rsid w:val="70AC660B"/>
    <w:rsid w:val="70B17138"/>
    <w:rsid w:val="70BB2EF0"/>
    <w:rsid w:val="70BC2801"/>
    <w:rsid w:val="70BD5310"/>
    <w:rsid w:val="70C6646C"/>
    <w:rsid w:val="70CA1E70"/>
    <w:rsid w:val="70FC2D1E"/>
    <w:rsid w:val="71015D6B"/>
    <w:rsid w:val="71151975"/>
    <w:rsid w:val="71336A65"/>
    <w:rsid w:val="71545B37"/>
    <w:rsid w:val="71573E01"/>
    <w:rsid w:val="71702748"/>
    <w:rsid w:val="717503AB"/>
    <w:rsid w:val="717F0007"/>
    <w:rsid w:val="71867894"/>
    <w:rsid w:val="718A6837"/>
    <w:rsid w:val="719F7A78"/>
    <w:rsid w:val="71C260EA"/>
    <w:rsid w:val="71C7540C"/>
    <w:rsid w:val="71F64A63"/>
    <w:rsid w:val="71F870B8"/>
    <w:rsid w:val="72021233"/>
    <w:rsid w:val="720B2A1D"/>
    <w:rsid w:val="72334206"/>
    <w:rsid w:val="726749F7"/>
    <w:rsid w:val="727C422C"/>
    <w:rsid w:val="72800F97"/>
    <w:rsid w:val="7292045A"/>
    <w:rsid w:val="72974DBE"/>
    <w:rsid w:val="72A20C20"/>
    <w:rsid w:val="72AC5E95"/>
    <w:rsid w:val="72C13ED7"/>
    <w:rsid w:val="72CF1AC7"/>
    <w:rsid w:val="72E42AFA"/>
    <w:rsid w:val="72E85578"/>
    <w:rsid w:val="72EB4466"/>
    <w:rsid w:val="72FD426E"/>
    <w:rsid w:val="73043CFC"/>
    <w:rsid w:val="73161882"/>
    <w:rsid w:val="732C334F"/>
    <w:rsid w:val="734F0C79"/>
    <w:rsid w:val="734F4185"/>
    <w:rsid w:val="73520620"/>
    <w:rsid w:val="7363274A"/>
    <w:rsid w:val="73691A4A"/>
    <w:rsid w:val="737807F3"/>
    <w:rsid w:val="738A6895"/>
    <w:rsid w:val="73BA56A0"/>
    <w:rsid w:val="73BC7089"/>
    <w:rsid w:val="73BD2E5F"/>
    <w:rsid w:val="73BE7067"/>
    <w:rsid w:val="73D059C3"/>
    <w:rsid w:val="73D643F8"/>
    <w:rsid w:val="73E52294"/>
    <w:rsid w:val="73F35E5A"/>
    <w:rsid w:val="73FF2D64"/>
    <w:rsid w:val="74137154"/>
    <w:rsid w:val="74257F79"/>
    <w:rsid w:val="74273820"/>
    <w:rsid w:val="7427471C"/>
    <w:rsid w:val="74355B0B"/>
    <w:rsid w:val="743C7157"/>
    <w:rsid w:val="74416F54"/>
    <w:rsid w:val="744B354F"/>
    <w:rsid w:val="7450294E"/>
    <w:rsid w:val="7464462A"/>
    <w:rsid w:val="746B732F"/>
    <w:rsid w:val="746E18CB"/>
    <w:rsid w:val="748D52FA"/>
    <w:rsid w:val="74993216"/>
    <w:rsid w:val="74A769ED"/>
    <w:rsid w:val="74B44784"/>
    <w:rsid w:val="74B808BF"/>
    <w:rsid w:val="75084E8F"/>
    <w:rsid w:val="75202656"/>
    <w:rsid w:val="756C2E80"/>
    <w:rsid w:val="75752B04"/>
    <w:rsid w:val="757F01A7"/>
    <w:rsid w:val="758910BB"/>
    <w:rsid w:val="758C6EA5"/>
    <w:rsid w:val="75955DA9"/>
    <w:rsid w:val="75977910"/>
    <w:rsid w:val="759F2A35"/>
    <w:rsid w:val="75AF62C3"/>
    <w:rsid w:val="75B15C41"/>
    <w:rsid w:val="75D12923"/>
    <w:rsid w:val="75EA364B"/>
    <w:rsid w:val="75F20996"/>
    <w:rsid w:val="75F96973"/>
    <w:rsid w:val="76123E1D"/>
    <w:rsid w:val="762A17C0"/>
    <w:rsid w:val="76425118"/>
    <w:rsid w:val="764838B9"/>
    <w:rsid w:val="764B15DA"/>
    <w:rsid w:val="764C09B4"/>
    <w:rsid w:val="764F5A52"/>
    <w:rsid w:val="765450AB"/>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6B668C"/>
    <w:rsid w:val="77737243"/>
    <w:rsid w:val="77825248"/>
    <w:rsid w:val="7785098B"/>
    <w:rsid w:val="77870D91"/>
    <w:rsid w:val="778A3229"/>
    <w:rsid w:val="779258CC"/>
    <w:rsid w:val="7794068F"/>
    <w:rsid w:val="779A096B"/>
    <w:rsid w:val="779B52FF"/>
    <w:rsid w:val="77A00E75"/>
    <w:rsid w:val="77A80D17"/>
    <w:rsid w:val="77B841F3"/>
    <w:rsid w:val="77C078B1"/>
    <w:rsid w:val="77E30DED"/>
    <w:rsid w:val="77E66E3C"/>
    <w:rsid w:val="77F3789A"/>
    <w:rsid w:val="780326B9"/>
    <w:rsid w:val="7816209F"/>
    <w:rsid w:val="7833711D"/>
    <w:rsid w:val="78497C2E"/>
    <w:rsid w:val="7854087B"/>
    <w:rsid w:val="786A4053"/>
    <w:rsid w:val="78782A0D"/>
    <w:rsid w:val="787B5060"/>
    <w:rsid w:val="788720E7"/>
    <w:rsid w:val="78A90B04"/>
    <w:rsid w:val="78C53485"/>
    <w:rsid w:val="78C76A01"/>
    <w:rsid w:val="78EC45D8"/>
    <w:rsid w:val="78EC6DF0"/>
    <w:rsid w:val="78F5335B"/>
    <w:rsid w:val="791302A9"/>
    <w:rsid w:val="791843E7"/>
    <w:rsid w:val="792730E6"/>
    <w:rsid w:val="79395A92"/>
    <w:rsid w:val="794008FB"/>
    <w:rsid w:val="794708D9"/>
    <w:rsid w:val="794B21A1"/>
    <w:rsid w:val="794D55C3"/>
    <w:rsid w:val="7964574A"/>
    <w:rsid w:val="79941CF2"/>
    <w:rsid w:val="79973382"/>
    <w:rsid w:val="79D33056"/>
    <w:rsid w:val="79EC0256"/>
    <w:rsid w:val="79F60153"/>
    <w:rsid w:val="79FB6E2C"/>
    <w:rsid w:val="7A000A00"/>
    <w:rsid w:val="7A2E152B"/>
    <w:rsid w:val="7A4C2D60"/>
    <w:rsid w:val="7A6E4BF5"/>
    <w:rsid w:val="7A851D5D"/>
    <w:rsid w:val="7A8A2267"/>
    <w:rsid w:val="7AB53126"/>
    <w:rsid w:val="7AB76FE8"/>
    <w:rsid w:val="7AD268E2"/>
    <w:rsid w:val="7ADC0950"/>
    <w:rsid w:val="7ADC0B33"/>
    <w:rsid w:val="7AE14C19"/>
    <w:rsid w:val="7AEA174E"/>
    <w:rsid w:val="7B274176"/>
    <w:rsid w:val="7B401C79"/>
    <w:rsid w:val="7B440ED6"/>
    <w:rsid w:val="7B4678D7"/>
    <w:rsid w:val="7B4B2A93"/>
    <w:rsid w:val="7B527515"/>
    <w:rsid w:val="7B5922B3"/>
    <w:rsid w:val="7B890A24"/>
    <w:rsid w:val="7BAA485C"/>
    <w:rsid w:val="7BAD1591"/>
    <w:rsid w:val="7BAF117E"/>
    <w:rsid w:val="7BD3716B"/>
    <w:rsid w:val="7BEC2711"/>
    <w:rsid w:val="7BF55850"/>
    <w:rsid w:val="7C1054B7"/>
    <w:rsid w:val="7C143FB0"/>
    <w:rsid w:val="7C26369C"/>
    <w:rsid w:val="7C2A465C"/>
    <w:rsid w:val="7C305879"/>
    <w:rsid w:val="7C34521A"/>
    <w:rsid w:val="7C4A2BD1"/>
    <w:rsid w:val="7C576C70"/>
    <w:rsid w:val="7C6E52CD"/>
    <w:rsid w:val="7C77043F"/>
    <w:rsid w:val="7C8A7CDC"/>
    <w:rsid w:val="7C9E5A24"/>
    <w:rsid w:val="7CB4006B"/>
    <w:rsid w:val="7CB93ABB"/>
    <w:rsid w:val="7CE656F0"/>
    <w:rsid w:val="7CED34FF"/>
    <w:rsid w:val="7CEE5458"/>
    <w:rsid w:val="7CF26588"/>
    <w:rsid w:val="7CF565D7"/>
    <w:rsid w:val="7CFA3A46"/>
    <w:rsid w:val="7D0713E4"/>
    <w:rsid w:val="7D0F5720"/>
    <w:rsid w:val="7D2E198F"/>
    <w:rsid w:val="7D3B3737"/>
    <w:rsid w:val="7D3D73AF"/>
    <w:rsid w:val="7D4B7376"/>
    <w:rsid w:val="7D5B27C9"/>
    <w:rsid w:val="7D62117D"/>
    <w:rsid w:val="7D785A54"/>
    <w:rsid w:val="7D834A16"/>
    <w:rsid w:val="7D9D438F"/>
    <w:rsid w:val="7DA514D2"/>
    <w:rsid w:val="7DCD4EB5"/>
    <w:rsid w:val="7DF700B0"/>
    <w:rsid w:val="7E090313"/>
    <w:rsid w:val="7E3E0FEC"/>
    <w:rsid w:val="7E3E1EF2"/>
    <w:rsid w:val="7E5C1ABA"/>
    <w:rsid w:val="7E62165E"/>
    <w:rsid w:val="7E622778"/>
    <w:rsid w:val="7E756346"/>
    <w:rsid w:val="7E85174A"/>
    <w:rsid w:val="7EAA7C26"/>
    <w:rsid w:val="7EAF1FAA"/>
    <w:rsid w:val="7EB4653A"/>
    <w:rsid w:val="7ECA4601"/>
    <w:rsid w:val="7EDC22AD"/>
    <w:rsid w:val="7EE34086"/>
    <w:rsid w:val="7EE55F89"/>
    <w:rsid w:val="7EEB5719"/>
    <w:rsid w:val="7EEF08A2"/>
    <w:rsid w:val="7EF215E8"/>
    <w:rsid w:val="7EF525E1"/>
    <w:rsid w:val="7EF74FC9"/>
    <w:rsid w:val="7F0C2035"/>
    <w:rsid w:val="7F0F7992"/>
    <w:rsid w:val="7F1B0865"/>
    <w:rsid w:val="7F271AA3"/>
    <w:rsid w:val="7F332190"/>
    <w:rsid w:val="7F542B37"/>
    <w:rsid w:val="7F5B482C"/>
    <w:rsid w:val="7F6B2248"/>
    <w:rsid w:val="7F733B7A"/>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customStyle="1" w:styleId="73">
    <w:name w:val="TAR"/>
    <w:basedOn w:val="5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2022-08-10T13:17:29Z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